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关于《平阳县水域保护规划》的起草说明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背景依据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2019年5月1日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浙江省人民政府第375号令颁布了《浙江省水域保护办法》。为贯彻实施《浙江省水域保护办法》，推进全省水域监管数字化转型，维护和发挥水域在防洪、排涝、供水、生态环境等方面的重要作用，浙江省自然资源厅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浙江省水利厅联合发文《关于开展全省水域调查工作的通知》（浙自然资厅函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2019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360号），决定于2019年6月至2020年6月开展全省新一轮水域调查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为有效保护水域，加强水域岸线的管控，浙江省水利厅发文《关于加快推进全省水域保护规划编制工作的通知》（浙水河湖〔2021〕11号），要求加快推进全省水域保护规划编制工作。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县水利局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政府采购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形式，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浙江省水利水电勘测设计院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有限公司中标负责编制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平阳县水域保护规划。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协调情况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2021年12月浙江省水利水电勘测设计院有限公司经现场踏勘和外业调查后，根据《浙江省水域保护规划编制技术导则（试行）》要求，结合我县相关需求，形成报告初稿。经县水利局组织内部讨论后于2022年3月修改形成送审稿。2022年4月1日在县水利局五楼会议室组织召开《规划》视频评审会，参加的有县发改局、县资规局、县住建局、县交通局、市生态环境平阳分局、各乡镇等单位代表和特邀专家，会后编制单位根据审查意见进行了修改完善。2022年5月5日县水利局将修改完善的《规划》向市水利局、县发改局、县自然资源和规划局、县住建局、县交通局、市生态环境局平阳分局、各乡镇人民政府等征求意见，并根据反馈意见进一步修改完善了《规划》。同时于2022年4月29日—5月31日通过平阳县政府门户网站向社会公开征求意见，期间并未收到反馈意见。2022年6月，县水利局将修改完善的《规划》提交省水利厅进行技术复核，并根据技术复核意见于2022年8月修改完善形成了《规划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" w:eastAsia="zh-CN"/>
        </w:rPr>
        <w:t>（送审稿）》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规划内容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1、规划范围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本次水域保护规划范围为平阳县陆域范围，包括14个镇、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个乡，按照国土三调矢量成果全县陆地面积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1037km²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进行统计。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2、规划水平年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现状水平年为2020年；近期水平年为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2025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年；远期水平年为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2035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年。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3、规划目标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基本建成与经济社会发展、现代化建设相适应的水域岸线格局，在充分保障防洪排涝、水资源利用的基础上，水生态保护、智慧化管理取得显著成效，水域岸线成为经济社会高质量发展、生态文明建设的重要支撑。到规划近期水平年，全县近期规划水面率为4.43%，远期规划水面率为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4.47%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，基本水面率为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4.31%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，重要水域面积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24.3535km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²，重要河湖岸线保护率为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72%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，城乡居民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分钟亲水圈覆盖率达到 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90.5%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，重要河湖岸线监管率达到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四、特别说明事项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1、水域空间范围划定。为实施平阳县的水域管理和保护，水域应设置管理范围和保护范围。本次规划水域管理范围及保护范围确定原则和范围，引用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2018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年批复的《平阳县水域保护规划》数值。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2、重要水域的确定。此次规划的重要水域采用《平阳县人民政府关于公布县级重要水域名录的通告》（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平政〔2021〕24号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）公布的成果。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3、岸线功能区划分成果。根据《浙江省水域保护规划编制技术导则（试行）》，我省流域面积1000km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以上河流、水面面积 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1km2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以上湖泊单独编制河湖岸线保护与利用规划，即平阳鳌江干流已单独开展岸线保护与利用规划，其余市级河道及水面面积</w:t>
      </w:r>
      <w:r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0.5km2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以上湖泊需在水域保护规划中编制相关内容。按照前述划分原则及规定，本次主要对瑞平塘河、沪山内河、萧江塘河以及横阳支江进行岸线功能区划分，其中鳌江干流相关成果也一并纳入。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五、建议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b w:val="0"/>
          <w:bCs w:val="0"/>
          <w:color w:val="000000"/>
          <w:sz w:val="32"/>
          <w:szCs w:val="32"/>
        </w:rPr>
        <w:t>水域保护规划是依法开展水域岸线保护、利用管理的基本依据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此次水域保护规划成果已建立相关的空间数据库，应</w:t>
      </w:r>
      <w:r>
        <w:rPr>
          <w:rFonts w:ascii="仿宋" w:hAnsi="仿宋" w:eastAsia="仿宋" w:cs="仿宋"/>
          <w:b w:val="0"/>
          <w:bCs w:val="0"/>
          <w:color w:val="000000"/>
          <w:sz w:val="32"/>
          <w:szCs w:val="32"/>
        </w:rPr>
        <w:t>充分做好与其它行业规划的衔接，用好数字化手段，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待水域保护规划批准后</w:t>
      </w:r>
      <w:r>
        <w:rPr>
          <w:rFonts w:ascii="仿宋" w:hAnsi="仿宋" w:eastAsia="仿宋" w:cs="仿宋"/>
          <w:b w:val="0"/>
          <w:bCs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纳入</w:t>
      </w:r>
      <w:r>
        <w:rPr>
          <w:rFonts w:ascii="仿宋" w:hAnsi="仿宋" w:eastAsia="仿宋" w:cs="仿宋"/>
          <w:b w:val="0"/>
          <w:bCs w:val="0"/>
          <w:color w:val="000000"/>
          <w:sz w:val="32"/>
          <w:szCs w:val="32"/>
        </w:rPr>
        <w:t>国土空间基础信息平台。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82C10F"/>
    <w:multiLevelType w:val="singleLevel"/>
    <w:tmpl w:val="EA82C1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NmUwZjA5YmE5N2U3YTZhOGEwMmEyMjk2ODhmMDMifQ=="/>
  </w:docVars>
  <w:rsids>
    <w:rsidRoot w:val="07611A4F"/>
    <w:rsid w:val="0089709B"/>
    <w:rsid w:val="05602AA7"/>
    <w:rsid w:val="058D73FC"/>
    <w:rsid w:val="07611A4F"/>
    <w:rsid w:val="11B04DF3"/>
    <w:rsid w:val="194730FC"/>
    <w:rsid w:val="1F3F4ACF"/>
    <w:rsid w:val="266C2B83"/>
    <w:rsid w:val="27340774"/>
    <w:rsid w:val="2790643D"/>
    <w:rsid w:val="3DEA73C3"/>
    <w:rsid w:val="4B543F2F"/>
    <w:rsid w:val="4D733ACE"/>
    <w:rsid w:val="4F01613D"/>
    <w:rsid w:val="4FCF0E25"/>
    <w:rsid w:val="53267981"/>
    <w:rsid w:val="580764A3"/>
    <w:rsid w:val="59561490"/>
    <w:rsid w:val="71EB2778"/>
    <w:rsid w:val="72C90C41"/>
    <w:rsid w:val="73FC37F5"/>
    <w:rsid w:val="7AC74051"/>
    <w:rsid w:val="7DDF7054"/>
    <w:rsid w:val="FF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1463</Words>
  <Characters>1579</Characters>
  <Lines>0</Lines>
  <Paragraphs>0</Paragraphs>
  <TotalTime>13</TotalTime>
  <ScaleCrop>false</ScaleCrop>
  <LinksUpToDate>false</LinksUpToDate>
  <CharactersWithSpaces>1588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2021-06-13T11:31:00Z</dcterms:created>
  <dc:creator>song</dc:creator>
  <cp:lastModifiedBy>greatwall</cp:lastModifiedBy>
  <cp:lastPrinted>2021-08-25T08:42:00Z</cp:lastPrinted>
  <dcterms:modified xsi:type="dcterms:W3CDTF">2023-08-23T10:31:32Z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C5ED971AF0514C61BA35FC31FD0F3D64</vt:lpwstr>
  </property>
</Properties>
</file>