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color w:val="auto"/>
          <w:sz w:val="52"/>
          <w:szCs w:val="52"/>
        </w:rPr>
      </w:pPr>
    </w:p>
    <w:p>
      <w:pPr>
        <w:jc w:val="center"/>
        <w:rPr>
          <w:rFonts w:hint="default" w:ascii="Times New Roman" w:hAnsi="Times New Roman" w:eastAsia="方正小标宋简体" w:cs="Times New Roman"/>
          <w:color w:val="auto"/>
          <w:sz w:val="52"/>
          <w:szCs w:val="52"/>
        </w:rPr>
      </w:pPr>
    </w:p>
    <w:p>
      <w:pPr>
        <w:jc w:val="center"/>
        <w:rPr>
          <w:rFonts w:hint="default" w:ascii="Times New Roman" w:hAnsi="Times New Roman" w:eastAsia="方正小标宋简体" w:cs="Times New Roman"/>
          <w:color w:val="auto"/>
          <w:sz w:val="52"/>
          <w:szCs w:val="52"/>
        </w:rPr>
      </w:pPr>
    </w:p>
    <w:p>
      <w:pPr>
        <w:jc w:val="center"/>
        <w:rPr>
          <w:rFonts w:hint="default" w:ascii="Times New Roman" w:hAnsi="Times New Roman" w:eastAsia="方正小标宋简体" w:cs="Times New Roman"/>
          <w:color w:val="auto"/>
          <w:sz w:val="52"/>
          <w:szCs w:val="52"/>
        </w:rPr>
      </w:pPr>
    </w:p>
    <w:p>
      <w:pPr>
        <w:jc w:val="center"/>
        <w:rPr>
          <w:rFonts w:hint="default" w:ascii="Times New Roman" w:hAnsi="Times New Roman" w:eastAsia="方正小标宋简体" w:cs="Times New Roman"/>
          <w:b/>
          <w:bCs/>
          <w:color w:val="auto"/>
          <w:sz w:val="52"/>
          <w:szCs w:val="52"/>
        </w:rPr>
      </w:pPr>
      <w:r>
        <w:rPr>
          <w:rFonts w:hint="default" w:ascii="Times New Roman" w:hAnsi="Times New Roman" w:eastAsia="方正小标宋简体" w:cs="Times New Roman"/>
          <w:b/>
          <w:bCs/>
          <w:color w:val="auto"/>
          <w:sz w:val="52"/>
          <w:szCs w:val="52"/>
        </w:rPr>
        <w:t>平阳县民族团结进步事业发展</w:t>
      </w:r>
    </w:p>
    <w:p>
      <w:pPr>
        <w:jc w:val="center"/>
        <w:rPr>
          <w:rFonts w:hint="default" w:ascii="Times New Roman" w:hAnsi="Times New Roman" w:eastAsia="方正小标宋简体" w:cs="Times New Roman"/>
          <w:b/>
          <w:bCs/>
          <w:color w:val="auto"/>
          <w:sz w:val="52"/>
          <w:szCs w:val="52"/>
        </w:rPr>
      </w:pPr>
      <w:r>
        <w:rPr>
          <w:rFonts w:hint="default" w:ascii="Times New Roman" w:hAnsi="Times New Roman" w:eastAsia="方正小标宋简体" w:cs="Times New Roman"/>
          <w:b/>
          <w:bCs/>
          <w:color w:val="auto"/>
          <w:sz w:val="52"/>
          <w:szCs w:val="52"/>
        </w:rPr>
        <w:t>“十四五”规划</w:t>
      </w:r>
    </w:p>
    <w:p>
      <w:pPr>
        <w:jc w:val="center"/>
        <w:rPr>
          <w:rFonts w:hint="default" w:ascii="Times New Roman" w:hAnsi="Times New Roman" w:eastAsia="方正小标宋简体" w:cs="Times New Roman"/>
          <w:color w:val="auto"/>
          <w:sz w:val="52"/>
          <w:szCs w:val="52"/>
        </w:rPr>
      </w:pPr>
    </w:p>
    <w:p>
      <w:pPr>
        <w:ind w:firstLine="600" w:firstLineChars="200"/>
        <w:rPr>
          <w:rFonts w:hint="default" w:ascii="Times New Roman" w:hAnsi="Times New Roman" w:eastAsia="仿宋_GB2312" w:cs="Times New Roman"/>
          <w:color w:val="auto"/>
          <w:sz w:val="30"/>
          <w:szCs w:val="30"/>
        </w:rPr>
      </w:pPr>
    </w:p>
    <w:p>
      <w:pPr>
        <w:ind w:firstLine="600" w:firstLineChars="200"/>
        <w:rPr>
          <w:rFonts w:hint="default" w:ascii="Times New Roman" w:hAnsi="Times New Roman" w:eastAsia="仿宋_GB2312" w:cs="Times New Roman"/>
          <w:color w:val="auto"/>
          <w:sz w:val="30"/>
          <w:szCs w:val="30"/>
        </w:rPr>
      </w:pPr>
    </w:p>
    <w:p>
      <w:pPr>
        <w:ind w:firstLine="600" w:firstLineChars="200"/>
        <w:rPr>
          <w:rFonts w:hint="default" w:ascii="Times New Roman" w:hAnsi="Times New Roman" w:eastAsia="仿宋_GB2312" w:cs="Times New Roman"/>
          <w:color w:val="auto"/>
          <w:sz w:val="30"/>
          <w:szCs w:val="30"/>
        </w:rPr>
      </w:pPr>
    </w:p>
    <w:p>
      <w:pPr>
        <w:ind w:firstLine="600" w:firstLineChars="200"/>
        <w:rPr>
          <w:rFonts w:hint="default" w:ascii="Times New Roman" w:hAnsi="Times New Roman" w:eastAsia="仿宋_GB2312" w:cs="Times New Roman"/>
          <w:color w:val="auto"/>
          <w:sz w:val="30"/>
          <w:szCs w:val="30"/>
        </w:rPr>
      </w:pPr>
    </w:p>
    <w:p>
      <w:pPr>
        <w:ind w:firstLine="600" w:firstLineChars="200"/>
        <w:rPr>
          <w:rFonts w:hint="default" w:ascii="Times New Roman" w:hAnsi="Times New Roman" w:eastAsia="仿宋_GB2312" w:cs="Times New Roman"/>
          <w:color w:val="auto"/>
          <w:sz w:val="30"/>
          <w:szCs w:val="30"/>
        </w:rPr>
      </w:pPr>
    </w:p>
    <w:p>
      <w:pPr>
        <w:ind w:firstLine="600" w:firstLineChars="200"/>
        <w:rPr>
          <w:rFonts w:hint="default" w:ascii="Times New Roman" w:hAnsi="Times New Roman" w:eastAsia="仿宋_GB2312" w:cs="Times New Roman"/>
          <w:color w:val="auto"/>
          <w:sz w:val="30"/>
          <w:szCs w:val="30"/>
        </w:rPr>
      </w:pPr>
    </w:p>
    <w:p>
      <w:pPr>
        <w:ind w:firstLine="600" w:firstLineChars="200"/>
        <w:rPr>
          <w:rFonts w:hint="default" w:ascii="Times New Roman" w:hAnsi="Times New Roman" w:eastAsia="仿宋_GB2312" w:cs="Times New Roman"/>
          <w:color w:val="auto"/>
          <w:sz w:val="30"/>
          <w:szCs w:val="30"/>
        </w:rPr>
      </w:pPr>
    </w:p>
    <w:p>
      <w:pPr>
        <w:ind w:firstLine="600" w:firstLineChars="200"/>
        <w:rPr>
          <w:rFonts w:hint="default" w:ascii="Times New Roman" w:hAnsi="Times New Roman" w:eastAsia="仿宋_GB2312" w:cs="Times New Roman"/>
          <w:color w:val="auto"/>
          <w:sz w:val="30"/>
          <w:szCs w:val="30"/>
        </w:rPr>
      </w:pPr>
    </w:p>
    <w:p>
      <w:pPr>
        <w:ind w:firstLine="600" w:firstLineChars="200"/>
        <w:rPr>
          <w:rFonts w:hint="default" w:ascii="Times New Roman" w:hAnsi="Times New Roman" w:eastAsia="仿宋_GB2312" w:cs="Times New Roman"/>
          <w:color w:val="auto"/>
          <w:sz w:val="30"/>
          <w:szCs w:val="30"/>
        </w:rPr>
      </w:pPr>
    </w:p>
    <w:p>
      <w:pPr>
        <w:ind w:firstLine="600" w:firstLineChars="200"/>
        <w:rPr>
          <w:rFonts w:hint="default" w:ascii="Times New Roman" w:hAnsi="Times New Roman" w:eastAsia="仿宋_GB2312" w:cs="Times New Roman"/>
          <w:color w:val="auto"/>
          <w:sz w:val="30"/>
          <w:szCs w:val="30"/>
        </w:rPr>
      </w:pPr>
    </w:p>
    <w:p>
      <w:pPr>
        <w:spacing w:line="460" w:lineRule="exact"/>
        <w:jc w:val="center"/>
        <w:rPr>
          <w:rFonts w:hint="default" w:ascii="Times New Roman" w:hAnsi="Times New Roman" w:eastAsia="楷体" w:cs="Times New Roman"/>
          <w:b/>
          <w:bCs/>
          <w:color w:val="auto"/>
          <w:sz w:val="36"/>
          <w:szCs w:val="36"/>
        </w:rPr>
      </w:pPr>
      <w:r>
        <w:rPr>
          <w:rFonts w:hint="default" w:ascii="Times New Roman" w:hAnsi="Times New Roman" w:eastAsia="楷体" w:cs="Times New Roman"/>
          <w:b/>
          <w:bCs/>
          <w:color w:val="auto"/>
          <w:sz w:val="36"/>
          <w:szCs w:val="36"/>
        </w:rPr>
        <w:t>平阳县民族宗教事务局</w:t>
      </w:r>
    </w:p>
    <w:p>
      <w:pPr>
        <w:spacing w:line="460" w:lineRule="exact"/>
        <w:jc w:val="center"/>
        <w:rPr>
          <w:rFonts w:hint="default" w:ascii="Times New Roman" w:hAnsi="Times New Roman" w:eastAsia="楷体" w:cs="Times New Roman"/>
          <w:b/>
          <w:bCs/>
          <w:color w:val="auto"/>
          <w:sz w:val="36"/>
          <w:szCs w:val="36"/>
        </w:rPr>
      </w:pPr>
      <w:r>
        <w:rPr>
          <w:rFonts w:hint="default" w:ascii="Times New Roman" w:hAnsi="Times New Roman" w:eastAsia="楷体" w:cs="Times New Roman"/>
          <w:b/>
          <w:bCs/>
          <w:color w:val="auto"/>
          <w:sz w:val="36"/>
          <w:szCs w:val="36"/>
        </w:rPr>
        <w:t>温州市经济建设规划院</w:t>
      </w:r>
    </w:p>
    <w:p>
      <w:pPr>
        <w:spacing w:line="460" w:lineRule="exact"/>
        <w:jc w:val="center"/>
        <w:rPr>
          <w:rFonts w:hint="default" w:ascii="Times New Roman" w:hAnsi="Times New Roman" w:eastAsia="楷体" w:cs="Times New Roman"/>
          <w:b/>
          <w:bCs/>
          <w:color w:val="auto"/>
          <w:sz w:val="36"/>
          <w:szCs w:val="36"/>
        </w:rPr>
      </w:pPr>
      <w:r>
        <w:rPr>
          <w:rFonts w:hint="default" w:ascii="Times New Roman" w:hAnsi="Times New Roman" w:eastAsia="楷体" w:cs="Times New Roman"/>
          <w:b/>
          <w:bCs/>
          <w:color w:val="auto"/>
          <w:sz w:val="36"/>
          <w:szCs w:val="36"/>
        </w:rPr>
        <w:t>二零二一年五月</w:t>
      </w:r>
    </w:p>
    <w:sdt>
      <w:sdtPr>
        <w:rPr>
          <w:rFonts w:hint="default" w:ascii="Times New Roman" w:hAnsi="Times New Roman" w:eastAsia="宋体" w:cs="Times New Roman"/>
          <w:b w:val="0"/>
          <w:bCs w:val="0"/>
          <w:color w:val="auto"/>
          <w:kern w:val="2"/>
          <w:sz w:val="21"/>
          <w:szCs w:val="24"/>
          <w:lang w:val="zh-CN"/>
        </w:rPr>
        <w:id w:val="96059160"/>
        <w:docPartObj>
          <w:docPartGallery w:val="Table of Contents"/>
          <w:docPartUnique/>
        </w:docPartObj>
      </w:sdtPr>
      <w:sdtEndPr>
        <w:rPr>
          <w:rFonts w:hint="default" w:ascii="Times New Roman" w:hAnsi="Times New Roman" w:eastAsia="宋体" w:cs="Times New Roman"/>
          <w:b w:val="0"/>
          <w:bCs w:val="0"/>
          <w:color w:val="auto"/>
          <w:kern w:val="2"/>
          <w:sz w:val="21"/>
          <w:szCs w:val="24"/>
          <w:lang w:val="en-US"/>
        </w:rPr>
      </w:sdtEndPr>
      <w:sdtContent>
        <w:p>
          <w:pPr>
            <w:pStyle w:val="25"/>
            <w:jc w:val="center"/>
            <w:rPr>
              <w:rFonts w:hint="default" w:ascii="Times New Roman" w:hAnsi="Times New Roman" w:cs="Times New Roman"/>
              <w:color w:val="auto"/>
            </w:rPr>
          </w:pPr>
          <w:r>
            <w:rPr>
              <w:rFonts w:hint="default" w:ascii="Times New Roman" w:hAnsi="Times New Roman" w:cs="Times New Roman"/>
              <w:color w:val="auto"/>
              <w:lang w:val="zh-CN"/>
            </w:rPr>
            <w:t>目录</w:t>
          </w:r>
        </w:p>
        <w:p>
          <w:pPr>
            <w:pStyle w:val="11"/>
            <w:tabs>
              <w:tab w:val="left" w:pos="105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TOC \o "1-3" \h \z \u </w:instrText>
          </w:r>
          <w:r>
            <w:rPr>
              <w:rFonts w:hint="default" w:ascii="Times New Roman" w:hAnsi="Times New Roman" w:cs="Times New Roman"/>
              <w:color w:val="auto"/>
            </w:rPr>
            <w:fldChar w:fldCharType="separate"/>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"_Toc71629964" </w:instrText>
          </w:r>
          <w:r>
            <w:rPr>
              <w:rFonts w:hint="default" w:ascii="Times New Roman" w:hAnsi="Times New Roman" w:cs="Times New Roman"/>
              <w:color w:val="auto"/>
            </w:rPr>
            <w:fldChar w:fldCharType="separate"/>
          </w:r>
          <w:r>
            <w:rPr>
              <w:rStyle w:val="20"/>
              <w:rFonts w:hint="default" w:ascii="Times New Roman" w:hAnsi="Times New Roman" w:eastAsia="黑体" w:cs="Times New Roman"/>
              <w:color w:val="auto"/>
            </w:rPr>
            <w:t>第一章</w:t>
          </w:r>
          <w:r>
            <w:rPr>
              <w:rFonts w:hint="default" w:ascii="Times New Roman" w:hAnsi="Times New Roman" w:cs="Times New Roman" w:eastAsiaTheme="minorEastAsia"/>
              <w:color w:val="auto"/>
              <w:szCs w:val="22"/>
            </w:rPr>
            <w:tab/>
          </w:r>
          <w:r>
            <w:rPr>
              <w:rStyle w:val="20"/>
              <w:rFonts w:hint="default" w:ascii="Times New Roman" w:hAnsi="Times New Roman" w:eastAsia="黑体" w:cs="Times New Roman"/>
              <w:color w:val="auto"/>
            </w:rPr>
            <w:t>发展现状</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_Toc71629964 \h </w:instrText>
          </w:r>
          <w:r>
            <w:rPr>
              <w:rFonts w:hint="default" w:ascii="Times New Roman" w:hAnsi="Times New Roman" w:cs="Times New Roman"/>
              <w:color w:val="auto"/>
            </w:rPr>
            <w:fldChar w:fldCharType="separate"/>
          </w:r>
          <w:r>
            <w:rPr>
              <w:rFonts w:hint="default" w:ascii="Times New Roman" w:hAnsi="Times New Roman" w:cs="Times New Roman"/>
              <w:color w:val="auto"/>
            </w:rPr>
            <w:t>3</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2"/>
            <w:tabs>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"_Toc71629965" </w:instrText>
          </w:r>
          <w:r>
            <w:rPr>
              <w:rFonts w:hint="default" w:ascii="Times New Roman" w:hAnsi="Times New Roman" w:cs="Times New Roman"/>
              <w:color w:val="auto"/>
            </w:rPr>
            <w:fldChar w:fldCharType="separate"/>
          </w:r>
          <w:r>
            <w:rPr>
              <w:rStyle w:val="20"/>
              <w:rFonts w:hint="default" w:ascii="Times New Roman" w:hAnsi="Times New Roman" w:cs="Times New Roman"/>
              <w:color w:val="auto"/>
            </w:rPr>
            <w:t>一、 发展回顾</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_Toc71629965 \h </w:instrText>
          </w:r>
          <w:r>
            <w:rPr>
              <w:rFonts w:hint="default" w:ascii="Times New Roman" w:hAnsi="Times New Roman" w:cs="Times New Roman"/>
              <w:color w:val="auto"/>
            </w:rPr>
            <w:fldChar w:fldCharType="separate"/>
          </w:r>
          <w:r>
            <w:rPr>
              <w:rFonts w:hint="default" w:ascii="Times New Roman" w:hAnsi="Times New Roman" w:cs="Times New Roman"/>
              <w:color w:val="auto"/>
            </w:rPr>
            <w:t>3</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2"/>
            <w:tabs>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"_Toc71629966" </w:instrText>
          </w:r>
          <w:r>
            <w:rPr>
              <w:rFonts w:hint="default" w:ascii="Times New Roman" w:hAnsi="Times New Roman" w:cs="Times New Roman"/>
              <w:color w:val="auto"/>
            </w:rPr>
            <w:fldChar w:fldCharType="separate"/>
          </w:r>
          <w:r>
            <w:rPr>
              <w:rStyle w:val="20"/>
              <w:rFonts w:hint="default" w:ascii="Times New Roman" w:hAnsi="Times New Roman" w:cs="Times New Roman"/>
              <w:color w:val="auto"/>
            </w:rPr>
            <w:t>二、 发展机遇</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_Toc71629966 \h </w:instrText>
          </w:r>
          <w:r>
            <w:rPr>
              <w:rFonts w:hint="default" w:ascii="Times New Roman" w:hAnsi="Times New Roman" w:cs="Times New Roman"/>
              <w:color w:val="auto"/>
            </w:rPr>
            <w:fldChar w:fldCharType="separate"/>
          </w:r>
          <w:r>
            <w:rPr>
              <w:rFonts w:hint="default" w:ascii="Times New Roman" w:hAnsi="Times New Roman" w:cs="Times New Roman"/>
              <w:color w:val="auto"/>
            </w:rPr>
            <w:t>6</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1"/>
            <w:tabs>
              <w:tab w:val="left" w:pos="105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"_Toc71629967" </w:instrText>
          </w:r>
          <w:r>
            <w:rPr>
              <w:rFonts w:hint="default" w:ascii="Times New Roman" w:hAnsi="Times New Roman" w:cs="Times New Roman"/>
              <w:color w:val="auto"/>
            </w:rPr>
            <w:fldChar w:fldCharType="separate"/>
          </w:r>
          <w:r>
            <w:rPr>
              <w:rStyle w:val="20"/>
              <w:rFonts w:hint="default" w:ascii="Times New Roman" w:hAnsi="Times New Roman" w:eastAsia="黑体" w:cs="Times New Roman"/>
              <w:color w:val="auto"/>
            </w:rPr>
            <w:t>第二章</w:t>
          </w:r>
          <w:r>
            <w:rPr>
              <w:rFonts w:hint="default" w:ascii="Times New Roman" w:hAnsi="Times New Roman" w:cs="Times New Roman" w:eastAsiaTheme="minorEastAsia"/>
              <w:color w:val="auto"/>
              <w:szCs w:val="22"/>
            </w:rPr>
            <w:tab/>
          </w:r>
          <w:r>
            <w:rPr>
              <w:rStyle w:val="20"/>
              <w:rFonts w:hint="default" w:ascii="Times New Roman" w:hAnsi="Times New Roman" w:eastAsia="黑体" w:cs="Times New Roman"/>
              <w:color w:val="auto"/>
            </w:rPr>
            <w:t>总体思路</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_Toc71629967 \h </w:instrText>
          </w:r>
          <w:r>
            <w:rPr>
              <w:rFonts w:hint="default" w:ascii="Times New Roman" w:hAnsi="Times New Roman" w:cs="Times New Roman"/>
              <w:color w:val="auto"/>
            </w:rPr>
            <w:fldChar w:fldCharType="separate"/>
          </w:r>
          <w:r>
            <w:rPr>
              <w:rFonts w:hint="default" w:ascii="Times New Roman" w:hAnsi="Times New Roman" w:cs="Times New Roman"/>
              <w:color w:val="auto"/>
            </w:rPr>
            <w:t>9</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2"/>
            <w:tabs>
              <w:tab w:val="left" w:pos="126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"_Toc71629968" </w:instrText>
          </w:r>
          <w:r>
            <w:rPr>
              <w:rFonts w:hint="default" w:ascii="Times New Roman" w:hAnsi="Times New Roman" w:cs="Times New Roman"/>
              <w:color w:val="auto"/>
            </w:rPr>
            <w:fldChar w:fldCharType="separate"/>
          </w:r>
          <w:r>
            <w:rPr>
              <w:rStyle w:val="20"/>
              <w:rFonts w:hint="default" w:ascii="Times New Roman" w:hAnsi="Times New Roman" w:cs="Times New Roman"/>
              <w:color w:val="auto"/>
            </w:rPr>
            <w:t>一、</w:t>
          </w:r>
          <w:r>
            <w:rPr>
              <w:rFonts w:hint="default" w:ascii="Times New Roman" w:hAnsi="Times New Roman" w:cs="Times New Roman" w:eastAsiaTheme="minorEastAsia"/>
              <w:color w:val="auto"/>
              <w:szCs w:val="22"/>
            </w:rPr>
            <w:tab/>
          </w:r>
          <w:r>
            <w:rPr>
              <w:rStyle w:val="20"/>
              <w:rFonts w:hint="default" w:ascii="Times New Roman" w:hAnsi="Times New Roman" w:cs="Times New Roman"/>
              <w:color w:val="auto"/>
            </w:rPr>
            <w:t>指导思想</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_Toc71629968 \h </w:instrText>
          </w:r>
          <w:r>
            <w:rPr>
              <w:rFonts w:hint="default" w:ascii="Times New Roman" w:hAnsi="Times New Roman" w:cs="Times New Roman"/>
              <w:color w:val="auto"/>
            </w:rPr>
            <w:fldChar w:fldCharType="separate"/>
          </w:r>
          <w:r>
            <w:rPr>
              <w:rFonts w:hint="default" w:ascii="Times New Roman" w:hAnsi="Times New Roman" w:cs="Times New Roman"/>
              <w:color w:val="auto"/>
            </w:rPr>
            <w:t>9</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2"/>
            <w:tabs>
              <w:tab w:val="left" w:pos="126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"_Toc71629969" </w:instrText>
          </w:r>
          <w:r>
            <w:rPr>
              <w:rFonts w:hint="default" w:ascii="Times New Roman" w:hAnsi="Times New Roman" w:cs="Times New Roman"/>
              <w:color w:val="auto"/>
            </w:rPr>
            <w:fldChar w:fldCharType="separate"/>
          </w:r>
          <w:r>
            <w:rPr>
              <w:rStyle w:val="20"/>
              <w:rFonts w:hint="default" w:ascii="Times New Roman" w:hAnsi="Times New Roman" w:cs="Times New Roman"/>
              <w:color w:val="auto"/>
            </w:rPr>
            <w:t>二、</w:t>
          </w:r>
          <w:r>
            <w:rPr>
              <w:rFonts w:hint="default" w:ascii="Times New Roman" w:hAnsi="Times New Roman" w:cs="Times New Roman" w:eastAsiaTheme="minorEastAsia"/>
              <w:color w:val="auto"/>
              <w:szCs w:val="22"/>
            </w:rPr>
            <w:tab/>
          </w:r>
          <w:r>
            <w:rPr>
              <w:rStyle w:val="20"/>
              <w:rFonts w:hint="default" w:ascii="Times New Roman" w:hAnsi="Times New Roman" w:cs="Times New Roman"/>
              <w:color w:val="auto"/>
            </w:rPr>
            <w:t>坚持原则</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_Toc71629969 \h </w:instrText>
          </w:r>
          <w:r>
            <w:rPr>
              <w:rFonts w:hint="default" w:ascii="Times New Roman" w:hAnsi="Times New Roman" w:cs="Times New Roman"/>
              <w:color w:val="auto"/>
            </w:rPr>
            <w:fldChar w:fldCharType="separate"/>
          </w:r>
          <w:r>
            <w:rPr>
              <w:rFonts w:hint="default" w:ascii="Times New Roman" w:hAnsi="Times New Roman" w:cs="Times New Roman"/>
              <w:color w:val="auto"/>
            </w:rPr>
            <w:t>9</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2"/>
            <w:tabs>
              <w:tab w:val="left" w:pos="126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"_Toc71629970" </w:instrText>
          </w:r>
          <w:r>
            <w:rPr>
              <w:rFonts w:hint="default" w:ascii="Times New Roman" w:hAnsi="Times New Roman" w:cs="Times New Roman"/>
              <w:color w:val="auto"/>
            </w:rPr>
            <w:fldChar w:fldCharType="separate"/>
          </w:r>
          <w:r>
            <w:rPr>
              <w:rStyle w:val="20"/>
              <w:rFonts w:hint="default" w:ascii="Times New Roman" w:hAnsi="Times New Roman" w:cs="Times New Roman"/>
              <w:color w:val="auto"/>
            </w:rPr>
            <w:t>三、</w:t>
          </w:r>
          <w:r>
            <w:rPr>
              <w:rFonts w:hint="default" w:ascii="Times New Roman" w:hAnsi="Times New Roman" w:cs="Times New Roman" w:eastAsiaTheme="minorEastAsia"/>
              <w:color w:val="auto"/>
              <w:szCs w:val="22"/>
            </w:rPr>
            <w:tab/>
          </w:r>
          <w:r>
            <w:rPr>
              <w:rStyle w:val="20"/>
              <w:rFonts w:hint="default" w:ascii="Times New Roman" w:hAnsi="Times New Roman" w:cs="Times New Roman"/>
              <w:color w:val="auto"/>
            </w:rPr>
            <w:t>发展目标</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_Toc71629970 \h </w:instrText>
          </w:r>
          <w:r>
            <w:rPr>
              <w:rFonts w:hint="default" w:ascii="Times New Roman" w:hAnsi="Times New Roman" w:cs="Times New Roman"/>
              <w:color w:val="auto"/>
            </w:rPr>
            <w:fldChar w:fldCharType="separate"/>
          </w:r>
          <w:r>
            <w:rPr>
              <w:rFonts w:hint="default" w:ascii="Times New Roman" w:hAnsi="Times New Roman" w:cs="Times New Roman"/>
              <w:color w:val="auto"/>
            </w:rPr>
            <w:t>10</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2"/>
            <w:tabs>
              <w:tab w:val="left" w:pos="126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"_Toc71629971" </w:instrText>
          </w:r>
          <w:r>
            <w:rPr>
              <w:rFonts w:hint="default" w:ascii="Times New Roman" w:hAnsi="Times New Roman" w:cs="Times New Roman"/>
              <w:color w:val="auto"/>
            </w:rPr>
            <w:fldChar w:fldCharType="separate"/>
          </w:r>
          <w:r>
            <w:rPr>
              <w:rStyle w:val="20"/>
              <w:rFonts w:hint="default" w:ascii="Times New Roman" w:hAnsi="Times New Roman" w:cs="Times New Roman"/>
              <w:color w:val="auto"/>
            </w:rPr>
            <w:t>四、</w:t>
          </w:r>
          <w:r>
            <w:rPr>
              <w:rFonts w:hint="default" w:ascii="Times New Roman" w:hAnsi="Times New Roman" w:cs="Times New Roman" w:eastAsiaTheme="minorEastAsia"/>
              <w:color w:val="auto"/>
              <w:szCs w:val="22"/>
            </w:rPr>
            <w:tab/>
          </w:r>
          <w:r>
            <w:rPr>
              <w:rStyle w:val="20"/>
              <w:rFonts w:hint="default" w:ascii="Times New Roman" w:hAnsi="Times New Roman" w:cs="Times New Roman"/>
              <w:color w:val="auto"/>
            </w:rPr>
            <w:t>空间优化布局</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_Toc71629971 \h </w:instrText>
          </w:r>
          <w:r>
            <w:rPr>
              <w:rFonts w:hint="default" w:ascii="Times New Roman" w:hAnsi="Times New Roman" w:cs="Times New Roman"/>
              <w:color w:val="auto"/>
            </w:rPr>
            <w:fldChar w:fldCharType="separate"/>
          </w:r>
          <w:r>
            <w:rPr>
              <w:rFonts w:hint="default" w:ascii="Times New Roman" w:hAnsi="Times New Roman" w:cs="Times New Roman"/>
              <w:color w:val="auto"/>
            </w:rPr>
            <w:t>12</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1"/>
            <w:tabs>
              <w:tab w:val="left" w:pos="105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"_Toc71629972" </w:instrText>
          </w:r>
          <w:r>
            <w:rPr>
              <w:rFonts w:hint="default" w:ascii="Times New Roman" w:hAnsi="Times New Roman" w:cs="Times New Roman"/>
              <w:color w:val="auto"/>
            </w:rPr>
            <w:fldChar w:fldCharType="separate"/>
          </w:r>
          <w:r>
            <w:rPr>
              <w:rStyle w:val="20"/>
              <w:rFonts w:hint="default" w:ascii="Times New Roman" w:hAnsi="Times New Roman" w:eastAsia="黑体" w:cs="Times New Roman"/>
              <w:color w:val="auto"/>
            </w:rPr>
            <w:t>第三章</w:t>
          </w:r>
          <w:r>
            <w:rPr>
              <w:rFonts w:hint="default" w:ascii="Times New Roman" w:hAnsi="Times New Roman" w:cs="Times New Roman" w:eastAsiaTheme="minorEastAsia"/>
              <w:color w:val="auto"/>
              <w:szCs w:val="22"/>
            </w:rPr>
            <w:tab/>
          </w:r>
          <w:r>
            <w:rPr>
              <w:rStyle w:val="20"/>
              <w:rFonts w:hint="default" w:ascii="Times New Roman" w:hAnsi="Times New Roman" w:eastAsia="黑体" w:cs="Times New Roman"/>
              <w:color w:val="auto"/>
            </w:rPr>
            <w:t>产业引领，夯实民族团结进步经济基础</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_Toc71629972 \h </w:instrText>
          </w:r>
          <w:r>
            <w:rPr>
              <w:rFonts w:hint="default" w:ascii="Times New Roman" w:hAnsi="Times New Roman" w:cs="Times New Roman"/>
              <w:color w:val="auto"/>
            </w:rPr>
            <w:fldChar w:fldCharType="separate"/>
          </w:r>
          <w:r>
            <w:rPr>
              <w:rFonts w:hint="default" w:ascii="Times New Roman" w:hAnsi="Times New Roman" w:cs="Times New Roman"/>
              <w:color w:val="auto"/>
            </w:rPr>
            <w:t>14</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2"/>
            <w:tabs>
              <w:tab w:val="left" w:pos="126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"_Toc71629973" </w:instrText>
          </w:r>
          <w:r>
            <w:rPr>
              <w:rFonts w:hint="default" w:ascii="Times New Roman" w:hAnsi="Times New Roman" w:cs="Times New Roman"/>
              <w:color w:val="auto"/>
            </w:rPr>
            <w:fldChar w:fldCharType="separate"/>
          </w:r>
          <w:r>
            <w:rPr>
              <w:rStyle w:val="20"/>
              <w:rFonts w:hint="default" w:ascii="Times New Roman" w:hAnsi="Times New Roman" w:cs="Times New Roman"/>
              <w:color w:val="auto"/>
            </w:rPr>
            <w:t>一、</w:t>
          </w:r>
          <w:r>
            <w:rPr>
              <w:rFonts w:hint="default" w:ascii="Times New Roman" w:hAnsi="Times New Roman" w:cs="Times New Roman" w:eastAsiaTheme="minorEastAsia"/>
              <w:color w:val="auto"/>
              <w:szCs w:val="22"/>
            </w:rPr>
            <w:tab/>
          </w:r>
          <w:r>
            <w:rPr>
              <w:rStyle w:val="20"/>
              <w:rFonts w:hint="default" w:ascii="Times New Roman" w:hAnsi="Times New Roman" w:cs="Times New Roman"/>
              <w:color w:val="auto"/>
            </w:rPr>
            <w:t>聚焦文旅主导产业</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_Toc71629973 \h </w:instrText>
          </w:r>
          <w:r>
            <w:rPr>
              <w:rFonts w:hint="default" w:ascii="Times New Roman" w:hAnsi="Times New Roman" w:cs="Times New Roman"/>
              <w:color w:val="auto"/>
            </w:rPr>
            <w:fldChar w:fldCharType="separate"/>
          </w:r>
          <w:r>
            <w:rPr>
              <w:rFonts w:hint="default" w:ascii="Times New Roman" w:hAnsi="Times New Roman" w:cs="Times New Roman"/>
              <w:color w:val="auto"/>
            </w:rPr>
            <w:t>14</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2"/>
            <w:tabs>
              <w:tab w:val="left" w:pos="126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"_Toc71629974" </w:instrText>
          </w:r>
          <w:r>
            <w:rPr>
              <w:rFonts w:hint="default" w:ascii="Times New Roman" w:hAnsi="Times New Roman" w:cs="Times New Roman"/>
              <w:color w:val="auto"/>
            </w:rPr>
            <w:fldChar w:fldCharType="separate"/>
          </w:r>
          <w:r>
            <w:rPr>
              <w:rStyle w:val="20"/>
              <w:rFonts w:hint="default" w:ascii="Times New Roman" w:hAnsi="Times New Roman" w:cs="Times New Roman"/>
              <w:color w:val="auto"/>
            </w:rPr>
            <w:t>二、</w:t>
          </w:r>
          <w:r>
            <w:rPr>
              <w:rFonts w:hint="default" w:ascii="Times New Roman" w:hAnsi="Times New Roman" w:cs="Times New Roman" w:eastAsiaTheme="minorEastAsia"/>
              <w:color w:val="auto"/>
              <w:szCs w:val="22"/>
            </w:rPr>
            <w:tab/>
          </w:r>
          <w:r>
            <w:rPr>
              <w:rStyle w:val="20"/>
              <w:rFonts w:hint="default" w:ascii="Times New Roman" w:hAnsi="Times New Roman" w:cs="Times New Roman"/>
              <w:color w:val="auto"/>
            </w:rPr>
            <w:t>提效农业基础产业</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_Toc71629974 \h </w:instrText>
          </w:r>
          <w:r>
            <w:rPr>
              <w:rFonts w:hint="default" w:ascii="Times New Roman" w:hAnsi="Times New Roman" w:cs="Times New Roman"/>
              <w:color w:val="auto"/>
            </w:rPr>
            <w:fldChar w:fldCharType="separate"/>
          </w:r>
          <w:r>
            <w:rPr>
              <w:rFonts w:hint="default" w:ascii="Times New Roman" w:hAnsi="Times New Roman" w:cs="Times New Roman"/>
              <w:color w:val="auto"/>
            </w:rPr>
            <w:t>16</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2"/>
            <w:tabs>
              <w:tab w:val="left" w:pos="126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"_Toc71629975" </w:instrText>
          </w:r>
          <w:r>
            <w:rPr>
              <w:rFonts w:hint="default" w:ascii="Times New Roman" w:hAnsi="Times New Roman" w:cs="Times New Roman"/>
              <w:color w:val="auto"/>
            </w:rPr>
            <w:fldChar w:fldCharType="separate"/>
          </w:r>
          <w:r>
            <w:rPr>
              <w:rStyle w:val="20"/>
              <w:rFonts w:hint="default" w:ascii="Times New Roman" w:hAnsi="Times New Roman" w:cs="Times New Roman"/>
              <w:color w:val="auto"/>
            </w:rPr>
            <w:t>三、</w:t>
          </w:r>
          <w:r>
            <w:rPr>
              <w:rFonts w:hint="default" w:ascii="Times New Roman" w:hAnsi="Times New Roman" w:cs="Times New Roman" w:eastAsiaTheme="minorEastAsia"/>
              <w:color w:val="auto"/>
              <w:szCs w:val="22"/>
            </w:rPr>
            <w:tab/>
          </w:r>
          <w:r>
            <w:rPr>
              <w:rStyle w:val="20"/>
              <w:rFonts w:hint="default" w:ascii="Times New Roman" w:hAnsi="Times New Roman" w:cs="Times New Roman"/>
              <w:color w:val="auto"/>
            </w:rPr>
            <w:t>培育特色新兴产业</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_Toc71629975 \h </w:instrText>
          </w:r>
          <w:r>
            <w:rPr>
              <w:rFonts w:hint="default" w:ascii="Times New Roman" w:hAnsi="Times New Roman" w:cs="Times New Roman"/>
              <w:color w:val="auto"/>
            </w:rPr>
            <w:fldChar w:fldCharType="separate"/>
          </w:r>
          <w:r>
            <w:rPr>
              <w:rFonts w:hint="default" w:ascii="Times New Roman" w:hAnsi="Times New Roman" w:cs="Times New Roman"/>
              <w:color w:val="auto"/>
            </w:rPr>
            <w:t>17</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2"/>
            <w:tabs>
              <w:tab w:val="left" w:pos="126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"_Toc71629976" </w:instrText>
          </w:r>
          <w:r>
            <w:rPr>
              <w:rFonts w:hint="default" w:ascii="Times New Roman" w:hAnsi="Times New Roman" w:cs="Times New Roman"/>
              <w:color w:val="auto"/>
            </w:rPr>
            <w:fldChar w:fldCharType="separate"/>
          </w:r>
          <w:r>
            <w:rPr>
              <w:rStyle w:val="20"/>
              <w:rFonts w:hint="default" w:ascii="Times New Roman" w:hAnsi="Times New Roman" w:cs="Times New Roman"/>
              <w:color w:val="auto"/>
            </w:rPr>
            <w:t>四、</w:t>
          </w:r>
          <w:r>
            <w:rPr>
              <w:rFonts w:hint="default" w:ascii="Times New Roman" w:hAnsi="Times New Roman" w:cs="Times New Roman" w:eastAsiaTheme="minorEastAsia"/>
              <w:color w:val="auto"/>
              <w:szCs w:val="22"/>
            </w:rPr>
            <w:tab/>
          </w:r>
          <w:r>
            <w:rPr>
              <w:rStyle w:val="20"/>
              <w:rFonts w:hint="default" w:ascii="Times New Roman" w:hAnsi="Times New Roman" w:cs="Times New Roman"/>
              <w:color w:val="auto"/>
            </w:rPr>
            <w:t>构建新型经营体系</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_Toc71629976 \h </w:instrText>
          </w:r>
          <w:r>
            <w:rPr>
              <w:rFonts w:hint="default" w:ascii="Times New Roman" w:hAnsi="Times New Roman" w:cs="Times New Roman"/>
              <w:color w:val="auto"/>
            </w:rPr>
            <w:fldChar w:fldCharType="separate"/>
          </w:r>
          <w:r>
            <w:rPr>
              <w:rFonts w:hint="default" w:ascii="Times New Roman" w:hAnsi="Times New Roman" w:cs="Times New Roman"/>
              <w:color w:val="auto"/>
            </w:rPr>
            <w:t>18</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1"/>
            <w:tabs>
              <w:tab w:val="left" w:pos="105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"_Toc71629977" </w:instrText>
          </w:r>
          <w:r>
            <w:rPr>
              <w:rFonts w:hint="default" w:ascii="Times New Roman" w:hAnsi="Times New Roman" w:cs="Times New Roman"/>
              <w:color w:val="auto"/>
            </w:rPr>
            <w:fldChar w:fldCharType="separate"/>
          </w:r>
          <w:r>
            <w:rPr>
              <w:rStyle w:val="20"/>
              <w:rFonts w:hint="default" w:ascii="Times New Roman" w:hAnsi="Times New Roman" w:eastAsia="黑体" w:cs="Times New Roman"/>
              <w:color w:val="auto"/>
            </w:rPr>
            <w:t>第四章</w:t>
          </w:r>
          <w:r>
            <w:rPr>
              <w:rFonts w:hint="default" w:ascii="Times New Roman" w:hAnsi="Times New Roman" w:cs="Times New Roman" w:eastAsiaTheme="minorEastAsia"/>
              <w:color w:val="auto"/>
              <w:szCs w:val="22"/>
            </w:rPr>
            <w:tab/>
          </w:r>
          <w:r>
            <w:rPr>
              <w:rStyle w:val="20"/>
              <w:rFonts w:hint="default" w:ascii="Times New Roman" w:hAnsi="Times New Roman" w:eastAsia="黑体" w:cs="Times New Roman"/>
              <w:color w:val="auto"/>
            </w:rPr>
            <w:t>设施优化，提升民族团结进步环境基础</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_Toc71629977 \h </w:instrText>
          </w:r>
          <w:r>
            <w:rPr>
              <w:rFonts w:hint="default" w:ascii="Times New Roman" w:hAnsi="Times New Roman" w:cs="Times New Roman"/>
              <w:color w:val="auto"/>
            </w:rPr>
            <w:fldChar w:fldCharType="separate"/>
          </w:r>
          <w:r>
            <w:rPr>
              <w:rFonts w:hint="default" w:ascii="Times New Roman" w:hAnsi="Times New Roman" w:cs="Times New Roman"/>
              <w:color w:val="auto"/>
            </w:rPr>
            <w:t>20</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2"/>
            <w:tabs>
              <w:tab w:val="left" w:pos="126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"_Toc71629978" </w:instrText>
          </w:r>
          <w:r>
            <w:rPr>
              <w:rFonts w:hint="default" w:ascii="Times New Roman" w:hAnsi="Times New Roman" w:cs="Times New Roman"/>
              <w:color w:val="auto"/>
            </w:rPr>
            <w:fldChar w:fldCharType="separate"/>
          </w:r>
          <w:r>
            <w:rPr>
              <w:rStyle w:val="20"/>
              <w:rFonts w:hint="default" w:ascii="Times New Roman" w:hAnsi="Times New Roman" w:cs="Times New Roman"/>
              <w:color w:val="auto"/>
            </w:rPr>
            <w:t>一、</w:t>
          </w:r>
          <w:r>
            <w:rPr>
              <w:rFonts w:hint="default" w:ascii="Times New Roman" w:hAnsi="Times New Roman" w:cs="Times New Roman" w:eastAsiaTheme="minorEastAsia"/>
              <w:color w:val="auto"/>
              <w:szCs w:val="22"/>
            </w:rPr>
            <w:tab/>
          </w:r>
          <w:r>
            <w:rPr>
              <w:rStyle w:val="20"/>
              <w:rFonts w:hint="default" w:ascii="Times New Roman" w:hAnsi="Times New Roman" w:cs="Times New Roman"/>
              <w:color w:val="auto"/>
            </w:rPr>
            <w:t>融入区域交通网络</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_Toc71629978 \h </w:instrText>
          </w:r>
          <w:r>
            <w:rPr>
              <w:rFonts w:hint="default" w:ascii="Times New Roman" w:hAnsi="Times New Roman" w:cs="Times New Roman"/>
              <w:color w:val="auto"/>
            </w:rPr>
            <w:fldChar w:fldCharType="separate"/>
          </w:r>
          <w:r>
            <w:rPr>
              <w:rFonts w:hint="default" w:ascii="Times New Roman" w:hAnsi="Times New Roman" w:cs="Times New Roman"/>
              <w:color w:val="auto"/>
            </w:rPr>
            <w:t>20</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2"/>
            <w:tabs>
              <w:tab w:val="left" w:pos="126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"_Toc71629979" </w:instrText>
          </w:r>
          <w:r>
            <w:rPr>
              <w:rFonts w:hint="default" w:ascii="Times New Roman" w:hAnsi="Times New Roman" w:cs="Times New Roman"/>
              <w:color w:val="auto"/>
            </w:rPr>
            <w:fldChar w:fldCharType="separate"/>
          </w:r>
          <w:r>
            <w:rPr>
              <w:rStyle w:val="20"/>
              <w:rFonts w:hint="default" w:ascii="Times New Roman" w:hAnsi="Times New Roman" w:cs="Times New Roman"/>
              <w:color w:val="auto"/>
            </w:rPr>
            <w:t>二、</w:t>
          </w:r>
          <w:r>
            <w:rPr>
              <w:rFonts w:hint="default" w:ascii="Times New Roman" w:hAnsi="Times New Roman" w:cs="Times New Roman" w:eastAsiaTheme="minorEastAsia"/>
              <w:color w:val="auto"/>
              <w:szCs w:val="22"/>
            </w:rPr>
            <w:tab/>
          </w:r>
          <w:r>
            <w:rPr>
              <w:rStyle w:val="20"/>
              <w:rFonts w:hint="default" w:ascii="Times New Roman" w:hAnsi="Times New Roman" w:cs="Times New Roman"/>
              <w:color w:val="auto"/>
            </w:rPr>
            <w:t>加强基础设施建设</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_Toc71629979 \h </w:instrText>
          </w:r>
          <w:r>
            <w:rPr>
              <w:rFonts w:hint="default" w:ascii="Times New Roman" w:hAnsi="Times New Roman" w:cs="Times New Roman"/>
              <w:color w:val="auto"/>
            </w:rPr>
            <w:fldChar w:fldCharType="separate"/>
          </w:r>
          <w:r>
            <w:rPr>
              <w:rFonts w:hint="default" w:ascii="Times New Roman" w:hAnsi="Times New Roman" w:cs="Times New Roman"/>
              <w:color w:val="auto"/>
            </w:rPr>
            <w:t>20</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2"/>
            <w:tabs>
              <w:tab w:val="left" w:pos="126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"_Toc71629980" </w:instrText>
          </w:r>
          <w:r>
            <w:rPr>
              <w:rFonts w:hint="default" w:ascii="Times New Roman" w:hAnsi="Times New Roman" w:cs="Times New Roman"/>
              <w:color w:val="auto"/>
            </w:rPr>
            <w:fldChar w:fldCharType="separate"/>
          </w:r>
          <w:r>
            <w:rPr>
              <w:rStyle w:val="20"/>
              <w:rFonts w:hint="default" w:ascii="Times New Roman" w:hAnsi="Times New Roman" w:cs="Times New Roman"/>
              <w:color w:val="auto"/>
            </w:rPr>
            <w:t>三、</w:t>
          </w:r>
          <w:r>
            <w:rPr>
              <w:rFonts w:hint="default" w:ascii="Times New Roman" w:hAnsi="Times New Roman" w:cs="Times New Roman" w:eastAsiaTheme="minorEastAsia"/>
              <w:color w:val="auto"/>
              <w:szCs w:val="22"/>
            </w:rPr>
            <w:tab/>
          </w:r>
          <w:r>
            <w:rPr>
              <w:rStyle w:val="20"/>
              <w:rFonts w:hint="default" w:ascii="Times New Roman" w:hAnsi="Times New Roman" w:cs="Times New Roman"/>
              <w:color w:val="auto"/>
            </w:rPr>
            <w:t>完善公共服务设施</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_Toc71629980 \h </w:instrText>
          </w:r>
          <w:r>
            <w:rPr>
              <w:rFonts w:hint="default" w:ascii="Times New Roman" w:hAnsi="Times New Roman" w:cs="Times New Roman"/>
              <w:color w:val="auto"/>
            </w:rPr>
            <w:fldChar w:fldCharType="separate"/>
          </w:r>
          <w:r>
            <w:rPr>
              <w:rFonts w:hint="default" w:ascii="Times New Roman" w:hAnsi="Times New Roman" w:cs="Times New Roman"/>
              <w:color w:val="auto"/>
            </w:rPr>
            <w:t>21</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2"/>
            <w:tabs>
              <w:tab w:val="left" w:pos="126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"_Toc71629981" </w:instrText>
          </w:r>
          <w:r>
            <w:rPr>
              <w:rFonts w:hint="default" w:ascii="Times New Roman" w:hAnsi="Times New Roman" w:cs="Times New Roman"/>
              <w:color w:val="auto"/>
            </w:rPr>
            <w:fldChar w:fldCharType="separate"/>
          </w:r>
          <w:r>
            <w:rPr>
              <w:rStyle w:val="20"/>
              <w:rFonts w:hint="default" w:ascii="Times New Roman" w:hAnsi="Times New Roman" w:cs="Times New Roman"/>
              <w:color w:val="auto"/>
            </w:rPr>
            <w:t>四、</w:t>
          </w:r>
          <w:r>
            <w:rPr>
              <w:rFonts w:hint="default" w:ascii="Times New Roman" w:hAnsi="Times New Roman" w:cs="Times New Roman" w:eastAsiaTheme="minorEastAsia"/>
              <w:color w:val="auto"/>
              <w:szCs w:val="22"/>
            </w:rPr>
            <w:tab/>
          </w:r>
          <w:r>
            <w:rPr>
              <w:rStyle w:val="20"/>
              <w:rFonts w:hint="default" w:ascii="Times New Roman" w:hAnsi="Times New Roman" w:cs="Times New Roman"/>
              <w:color w:val="auto"/>
            </w:rPr>
            <w:t>大力推进增收致富</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_Toc71629981 \h </w:instrText>
          </w:r>
          <w:r>
            <w:rPr>
              <w:rFonts w:hint="default" w:ascii="Times New Roman" w:hAnsi="Times New Roman" w:cs="Times New Roman"/>
              <w:color w:val="auto"/>
            </w:rPr>
            <w:fldChar w:fldCharType="separate"/>
          </w:r>
          <w:r>
            <w:rPr>
              <w:rFonts w:hint="default" w:ascii="Times New Roman" w:hAnsi="Times New Roman" w:cs="Times New Roman"/>
              <w:color w:val="auto"/>
            </w:rPr>
            <w:t>21</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1"/>
            <w:tabs>
              <w:tab w:val="left" w:pos="105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"_Toc71629982" </w:instrText>
          </w:r>
          <w:r>
            <w:rPr>
              <w:rFonts w:hint="default" w:ascii="Times New Roman" w:hAnsi="Times New Roman" w:cs="Times New Roman"/>
              <w:color w:val="auto"/>
            </w:rPr>
            <w:fldChar w:fldCharType="separate"/>
          </w:r>
          <w:r>
            <w:rPr>
              <w:rStyle w:val="20"/>
              <w:rFonts w:hint="default" w:ascii="Times New Roman" w:hAnsi="Times New Roman" w:eastAsia="黑体" w:cs="Times New Roman"/>
              <w:color w:val="auto"/>
            </w:rPr>
            <w:t>第五章</w:t>
          </w:r>
          <w:r>
            <w:rPr>
              <w:rFonts w:hint="default" w:ascii="Times New Roman" w:hAnsi="Times New Roman" w:cs="Times New Roman" w:eastAsiaTheme="minorEastAsia"/>
              <w:color w:val="auto"/>
              <w:szCs w:val="22"/>
            </w:rPr>
            <w:tab/>
          </w:r>
          <w:r>
            <w:rPr>
              <w:rStyle w:val="20"/>
              <w:rFonts w:hint="default" w:ascii="Times New Roman" w:hAnsi="Times New Roman" w:eastAsia="黑体" w:cs="Times New Roman"/>
              <w:color w:val="auto"/>
            </w:rPr>
            <w:t>文化传承，塑造民族团结进步宣传阵地</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_Toc71629982 \h </w:instrText>
          </w:r>
          <w:r>
            <w:rPr>
              <w:rFonts w:hint="default" w:ascii="Times New Roman" w:hAnsi="Times New Roman" w:cs="Times New Roman"/>
              <w:color w:val="auto"/>
            </w:rPr>
            <w:fldChar w:fldCharType="separate"/>
          </w:r>
          <w:r>
            <w:rPr>
              <w:rFonts w:hint="default" w:ascii="Times New Roman" w:hAnsi="Times New Roman" w:cs="Times New Roman"/>
              <w:color w:val="auto"/>
            </w:rPr>
            <w:t>23</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2"/>
            <w:tabs>
              <w:tab w:val="left" w:pos="126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"_Toc71629983" </w:instrText>
          </w:r>
          <w:r>
            <w:rPr>
              <w:rFonts w:hint="default" w:ascii="Times New Roman" w:hAnsi="Times New Roman" w:cs="Times New Roman"/>
              <w:color w:val="auto"/>
            </w:rPr>
            <w:fldChar w:fldCharType="separate"/>
          </w:r>
          <w:r>
            <w:rPr>
              <w:rStyle w:val="20"/>
              <w:rFonts w:hint="default" w:ascii="Times New Roman" w:hAnsi="Times New Roman" w:cs="Times New Roman"/>
              <w:color w:val="auto"/>
            </w:rPr>
            <w:t>一、</w:t>
          </w:r>
          <w:r>
            <w:rPr>
              <w:rFonts w:hint="default" w:ascii="Times New Roman" w:hAnsi="Times New Roman" w:cs="Times New Roman" w:eastAsiaTheme="minorEastAsia"/>
              <w:color w:val="auto"/>
              <w:szCs w:val="22"/>
            </w:rPr>
            <w:tab/>
          </w:r>
          <w:r>
            <w:rPr>
              <w:rStyle w:val="20"/>
              <w:rFonts w:hint="default" w:ascii="Times New Roman" w:hAnsi="Times New Roman" w:cs="Times New Roman"/>
              <w:color w:val="auto"/>
            </w:rPr>
            <w:t>开展少数民族文体活动</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_Toc71629983 \h </w:instrText>
          </w:r>
          <w:r>
            <w:rPr>
              <w:rFonts w:hint="default" w:ascii="Times New Roman" w:hAnsi="Times New Roman" w:cs="Times New Roman"/>
              <w:color w:val="auto"/>
            </w:rPr>
            <w:fldChar w:fldCharType="separate"/>
          </w:r>
          <w:r>
            <w:rPr>
              <w:rFonts w:hint="default" w:ascii="Times New Roman" w:hAnsi="Times New Roman" w:cs="Times New Roman"/>
              <w:color w:val="auto"/>
            </w:rPr>
            <w:t>23</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2"/>
            <w:tabs>
              <w:tab w:val="left" w:pos="126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"_Toc71629984" </w:instrText>
          </w:r>
          <w:r>
            <w:rPr>
              <w:rFonts w:hint="default" w:ascii="Times New Roman" w:hAnsi="Times New Roman" w:cs="Times New Roman"/>
              <w:color w:val="auto"/>
            </w:rPr>
            <w:fldChar w:fldCharType="separate"/>
          </w:r>
          <w:r>
            <w:rPr>
              <w:rStyle w:val="20"/>
              <w:rFonts w:hint="default" w:ascii="Times New Roman" w:hAnsi="Times New Roman" w:cs="Times New Roman"/>
              <w:color w:val="auto"/>
            </w:rPr>
            <w:t>二、</w:t>
          </w:r>
          <w:r>
            <w:rPr>
              <w:rFonts w:hint="default" w:ascii="Times New Roman" w:hAnsi="Times New Roman" w:cs="Times New Roman" w:eastAsiaTheme="minorEastAsia"/>
              <w:color w:val="auto"/>
              <w:szCs w:val="22"/>
            </w:rPr>
            <w:tab/>
          </w:r>
          <w:r>
            <w:rPr>
              <w:rStyle w:val="20"/>
              <w:rFonts w:hint="default" w:ascii="Times New Roman" w:hAnsi="Times New Roman" w:cs="Times New Roman"/>
              <w:color w:val="auto"/>
            </w:rPr>
            <w:t>强化文化保护传承</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_Toc71629984 \h </w:instrText>
          </w:r>
          <w:r>
            <w:rPr>
              <w:rFonts w:hint="default" w:ascii="Times New Roman" w:hAnsi="Times New Roman" w:cs="Times New Roman"/>
              <w:color w:val="auto"/>
            </w:rPr>
            <w:fldChar w:fldCharType="separate"/>
          </w:r>
          <w:r>
            <w:rPr>
              <w:rFonts w:hint="default" w:ascii="Times New Roman" w:hAnsi="Times New Roman" w:cs="Times New Roman"/>
              <w:color w:val="auto"/>
            </w:rPr>
            <w:t>23</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2"/>
            <w:tabs>
              <w:tab w:val="left" w:pos="126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"_Toc71629985" </w:instrText>
          </w:r>
          <w:r>
            <w:rPr>
              <w:rFonts w:hint="default" w:ascii="Times New Roman" w:hAnsi="Times New Roman" w:cs="Times New Roman"/>
              <w:color w:val="auto"/>
            </w:rPr>
            <w:fldChar w:fldCharType="separate"/>
          </w:r>
          <w:r>
            <w:rPr>
              <w:rStyle w:val="20"/>
              <w:rFonts w:hint="default" w:ascii="Times New Roman" w:hAnsi="Times New Roman" w:cs="Times New Roman"/>
              <w:color w:val="auto"/>
            </w:rPr>
            <w:t>三、</w:t>
          </w:r>
          <w:r>
            <w:rPr>
              <w:rFonts w:hint="default" w:ascii="Times New Roman" w:hAnsi="Times New Roman" w:cs="Times New Roman" w:eastAsiaTheme="minorEastAsia"/>
              <w:color w:val="auto"/>
              <w:szCs w:val="22"/>
            </w:rPr>
            <w:tab/>
          </w:r>
          <w:r>
            <w:rPr>
              <w:rStyle w:val="20"/>
              <w:rFonts w:hint="default" w:ascii="Times New Roman" w:hAnsi="Times New Roman" w:cs="Times New Roman"/>
              <w:color w:val="auto"/>
            </w:rPr>
            <w:t>培育民族特色村寨</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_Toc71629985 \h </w:instrText>
          </w:r>
          <w:r>
            <w:rPr>
              <w:rFonts w:hint="default" w:ascii="Times New Roman" w:hAnsi="Times New Roman" w:cs="Times New Roman"/>
              <w:color w:val="auto"/>
            </w:rPr>
            <w:fldChar w:fldCharType="separate"/>
          </w:r>
          <w:r>
            <w:rPr>
              <w:rFonts w:hint="default" w:ascii="Times New Roman" w:hAnsi="Times New Roman" w:cs="Times New Roman"/>
              <w:color w:val="auto"/>
            </w:rPr>
            <w:t>24</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2"/>
            <w:tabs>
              <w:tab w:val="left" w:pos="126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"_Toc71629986" </w:instrText>
          </w:r>
          <w:r>
            <w:rPr>
              <w:rFonts w:hint="default" w:ascii="Times New Roman" w:hAnsi="Times New Roman" w:cs="Times New Roman"/>
              <w:color w:val="auto"/>
            </w:rPr>
            <w:fldChar w:fldCharType="separate"/>
          </w:r>
          <w:r>
            <w:rPr>
              <w:rStyle w:val="20"/>
              <w:rFonts w:hint="default" w:ascii="Times New Roman" w:hAnsi="Times New Roman" w:cs="Times New Roman"/>
              <w:color w:val="auto"/>
            </w:rPr>
            <w:t>四、</w:t>
          </w:r>
          <w:r>
            <w:rPr>
              <w:rFonts w:hint="default" w:ascii="Times New Roman" w:hAnsi="Times New Roman" w:cs="Times New Roman" w:eastAsiaTheme="minorEastAsia"/>
              <w:color w:val="auto"/>
              <w:szCs w:val="22"/>
            </w:rPr>
            <w:tab/>
          </w:r>
          <w:r>
            <w:rPr>
              <w:rStyle w:val="20"/>
              <w:rFonts w:hint="default" w:ascii="Times New Roman" w:hAnsi="Times New Roman" w:cs="Times New Roman"/>
              <w:color w:val="auto"/>
            </w:rPr>
            <w:t>加强城市民族工作</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_Toc71629986 \h </w:instrText>
          </w:r>
          <w:r>
            <w:rPr>
              <w:rFonts w:hint="default" w:ascii="Times New Roman" w:hAnsi="Times New Roman" w:cs="Times New Roman"/>
              <w:color w:val="auto"/>
            </w:rPr>
            <w:fldChar w:fldCharType="separate"/>
          </w:r>
          <w:r>
            <w:rPr>
              <w:rFonts w:hint="default" w:ascii="Times New Roman" w:hAnsi="Times New Roman" w:cs="Times New Roman"/>
              <w:color w:val="auto"/>
            </w:rPr>
            <w:t>25</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1"/>
            <w:tabs>
              <w:tab w:val="left" w:pos="105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"_Toc71629987" </w:instrText>
          </w:r>
          <w:r>
            <w:rPr>
              <w:rFonts w:hint="default" w:ascii="Times New Roman" w:hAnsi="Times New Roman" w:cs="Times New Roman"/>
              <w:color w:val="auto"/>
            </w:rPr>
            <w:fldChar w:fldCharType="separate"/>
          </w:r>
          <w:r>
            <w:rPr>
              <w:rStyle w:val="20"/>
              <w:rFonts w:hint="default" w:ascii="Times New Roman" w:hAnsi="Times New Roman" w:eastAsia="黑体" w:cs="Times New Roman"/>
              <w:color w:val="auto"/>
            </w:rPr>
            <w:t>第六章</w:t>
          </w:r>
          <w:r>
            <w:rPr>
              <w:rFonts w:hint="default" w:ascii="Times New Roman" w:hAnsi="Times New Roman" w:cs="Times New Roman" w:eastAsiaTheme="minorEastAsia"/>
              <w:color w:val="auto"/>
              <w:szCs w:val="22"/>
            </w:rPr>
            <w:tab/>
          </w:r>
          <w:r>
            <w:rPr>
              <w:rStyle w:val="20"/>
              <w:rFonts w:hint="default" w:ascii="Times New Roman" w:hAnsi="Times New Roman" w:eastAsia="黑体" w:cs="Times New Roman"/>
              <w:color w:val="auto"/>
            </w:rPr>
            <w:t>人才引育，激发民族团结进步发展能力</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_Toc71629987 \h </w:instrText>
          </w:r>
          <w:r>
            <w:rPr>
              <w:rFonts w:hint="default" w:ascii="Times New Roman" w:hAnsi="Times New Roman" w:cs="Times New Roman"/>
              <w:color w:val="auto"/>
            </w:rPr>
            <w:fldChar w:fldCharType="separate"/>
          </w:r>
          <w:r>
            <w:rPr>
              <w:rFonts w:hint="default" w:ascii="Times New Roman" w:hAnsi="Times New Roman" w:cs="Times New Roman"/>
              <w:color w:val="auto"/>
            </w:rPr>
            <w:t>26</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2"/>
            <w:tabs>
              <w:tab w:val="left" w:pos="126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"_Toc71629988" </w:instrText>
          </w:r>
          <w:r>
            <w:rPr>
              <w:rFonts w:hint="default" w:ascii="Times New Roman" w:hAnsi="Times New Roman" w:cs="Times New Roman"/>
              <w:color w:val="auto"/>
            </w:rPr>
            <w:fldChar w:fldCharType="separate"/>
          </w:r>
          <w:r>
            <w:rPr>
              <w:rStyle w:val="20"/>
              <w:rFonts w:hint="default" w:ascii="Times New Roman" w:hAnsi="Times New Roman" w:cs="Times New Roman"/>
              <w:color w:val="auto"/>
            </w:rPr>
            <w:t>一、</w:t>
          </w:r>
          <w:r>
            <w:rPr>
              <w:rFonts w:hint="default" w:ascii="Times New Roman" w:hAnsi="Times New Roman" w:cs="Times New Roman" w:eastAsiaTheme="minorEastAsia"/>
              <w:color w:val="auto"/>
              <w:szCs w:val="22"/>
            </w:rPr>
            <w:tab/>
          </w:r>
          <w:r>
            <w:rPr>
              <w:rStyle w:val="20"/>
              <w:rFonts w:hint="default" w:ascii="Times New Roman" w:hAnsi="Times New Roman" w:cs="Times New Roman"/>
              <w:color w:val="auto"/>
            </w:rPr>
            <w:t>聚力培育民族干部</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_Toc71629988 \h </w:instrText>
          </w:r>
          <w:r>
            <w:rPr>
              <w:rFonts w:hint="default" w:ascii="Times New Roman" w:hAnsi="Times New Roman" w:cs="Times New Roman"/>
              <w:color w:val="auto"/>
            </w:rPr>
            <w:fldChar w:fldCharType="separate"/>
          </w:r>
          <w:r>
            <w:rPr>
              <w:rFonts w:hint="default" w:ascii="Times New Roman" w:hAnsi="Times New Roman" w:cs="Times New Roman"/>
              <w:color w:val="auto"/>
            </w:rPr>
            <w:t>26</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2"/>
            <w:tabs>
              <w:tab w:val="left" w:pos="126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"_Toc71629989" </w:instrText>
          </w:r>
          <w:r>
            <w:rPr>
              <w:rFonts w:hint="default" w:ascii="Times New Roman" w:hAnsi="Times New Roman" w:cs="Times New Roman"/>
              <w:color w:val="auto"/>
            </w:rPr>
            <w:fldChar w:fldCharType="separate"/>
          </w:r>
          <w:r>
            <w:rPr>
              <w:rStyle w:val="20"/>
              <w:rFonts w:hint="default" w:ascii="Times New Roman" w:hAnsi="Times New Roman" w:cs="Times New Roman"/>
              <w:color w:val="auto"/>
            </w:rPr>
            <w:t>二、</w:t>
          </w:r>
          <w:r>
            <w:rPr>
              <w:rFonts w:hint="default" w:ascii="Times New Roman" w:hAnsi="Times New Roman" w:cs="Times New Roman" w:eastAsiaTheme="minorEastAsia"/>
              <w:color w:val="auto"/>
              <w:szCs w:val="22"/>
            </w:rPr>
            <w:tab/>
          </w:r>
          <w:r>
            <w:rPr>
              <w:rStyle w:val="20"/>
              <w:rFonts w:hint="default" w:ascii="Times New Roman" w:hAnsi="Times New Roman" w:cs="Times New Roman"/>
              <w:color w:val="auto"/>
            </w:rPr>
            <w:t>特色引育民族人才</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_Toc71629989 \h </w:instrText>
          </w:r>
          <w:r>
            <w:rPr>
              <w:rFonts w:hint="default" w:ascii="Times New Roman" w:hAnsi="Times New Roman" w:cs="Times New Roman"/>
              <w:color w:val="auto"/>
            </w:rPr>
            <w:fldChar w:fldCharType="separate"/>
          </w:r>
          <w:r>
            <w:rPr>
              <w:rFonts w:hint="default" w:ascii="Times New Roman" w:hAnsi="Times New Roman" w:cs="Times New Roman"/>
              <w:color w:val="auto"/>
            </w:rPr>
            <w:t>26</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2"/>
            <w:tabs>
              <w:tab w:val="left" w:pos="126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"_Toc71629990" </w:instrText>
          </w:r>
          <w:r>
            <w:rPr>
              <w:rFonts w:hint="default" w:ascii="Times New Roman" w:hAnsi="Times New Roman" w:cs="Times New Roman"/>
              <w:color w:val="auto"/>
            </w:rPr>
            <w:fldChar w:fldCharType="separate"/>
          </w:r>
          <w:r>
            <w:rPr>
              <w:rStyle w:val="20"/>
              <w:rFonts w:hint="default" w:ascii="Times New Roman" w:hAnsi="Times New Roman" w:cs="Times New Roman"/>
              <w:color w:val="auto"/>
            </w:rPr>
            <w:t>三、</w:t>
          </w:r>
          <w:r>
            <w:rPr>
              <w:rFonts w:hint="default" w:ascii="Times New Roman" w:hAnsi="Times New Roman" w:cs="Times New Roman" w:eastAsiaTheme="minorEastAsia"/>
              <w:color w:val="auto"/>
              <w:szCs w:val="22"/>
            </w:rPr>
            <w:tab/>
          </w:r>
          <w:r>
            <w:rPr>
              <w:rStyle w:val="20"/>
              <w:rFonts w:hint="default" w:ascii="Times New Roman" w:hAnsi="Times New Roman" w:cs="Times New Roman"/>
              <w:color w:val="auto"/>
            </w:rPr>
            <w:t>提升人才服务效能</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_Toc71629990 \h </w:instrText>
          </w:r>
          <w:r>
            <w:rPr>
              <w:rFonts w:hint="default" w:ascii="Times New Roman" w:hAnsi="Times New Roman" w:cs="Times New Roman"/>
              <w:color w:val="auto"/>
            </w:rPr>
            <w:fldChar w:fldCharType="separate"/>
          </w:r>
          <w:r>
            <w:rPr>
              <w:rFonts w:hint="default" w:ascii="Times New Roman" w:hAnsi="Times New Roman" w:cs="Times New Roman"/>
              <w:color w:val="auto"/>
            </w:rPr>
            <w:t>27</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1"/>
            <w:tabs>
              <w:tab w:val="left" w:pos="105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"_Toc71629991" </w:instrText>
          </w:r>
          <w:r>
            <w:rPr>
              <w:rFonts w:hint="default" w:ascii="Times New Roman" w:hAnsi="Times New Roman" w:cs="Times New Roman"/>
              <w:color w:val="auto"/>
            </w:rPr>
            <w:fldChar w:fldCharType="separate"/>
          </w:r>
          <w:r>
            <w:rPr>
              <w:rStyle w:val="20"/>
              <w:rFonts w:hint="default" w:ascii="Times New Roman" w:hAnsi="Times New Roman" w:eastAsia="黑体" w:cs="Times New Roman"/>
              <w:color w:val="auto"/>
            </w:rPr>
            <w:t>第七章</w:t>
          </w:r>
          <w:r>
            <w:rPr>
              <w:rFonts w:hint="default" w:ascii="Times New Roman" w:hAnsi="Times New Roman" w:cs="Times New Roman" w:eastAsiaTheme="minorEastAsia"/>
              <w:color w:val="auto"/>
              <w:szCs w:val="22"/>
            </w:rPr>
            <w:tab/>
          </w:r>
          <w:r>
            <w:rPr>
              <w:rStyle w:val="20"/>
              <w:rFonts w:hint="default" w:ascii="Times New Roman" w:hAnsi="Times New Roman" w:eastAsia="黑体" w:cs="Times New Roman"/>
              <w:color w:val="auto"/>
            </w:rPr>
            <w:t>治理现代，打造民族团结进步治理典范</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_Toc71629991 \h </w:instrText>
          </w:r>
          <w:r>
            <w:rPr>
              <w:rFonts w:hint="default" w:ascii="Times New Roman" w:hAnsi="Times New Roman" w:cs="Times New Roman"/>
              <w:color w:val="auto"/>
            </w:rPr>
            <w:fldChar w:fldCharType="separate"/>
          </w:r>
          <w:r>
            <w:rPr>
              <w:rFonts w:hint="default" w:ascii="Times New Roman" w:hAnsi="Times New Roman" w:cs="Times New Roman"/>
              <w:color w:val="auto"/>
            </w:rPr>
            <w:t>29</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2"/>
            <w:tabs>
              <w:tab w:val="left" w:pos="126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"_Toc71629992" </w:instrText>
          </w:r>
          <w:r>
            <w:rPr>
              <w:rFonts w:hint="default" w:ascii="Times New Roman" w:hAnsi="Times New Roman" w:cs="Times New Roman"/>
              <w:color w:val="auto"/>
            </w:rPr>
            <w:fldChar w:fldCharType="separate"/>
          </w:r>
          <w:r>
            <w:rPr>
              <w:rStyle w:val="20"/>
              <w:rFonts w:hint="default" w:ascii="Times New Roman" w:hAnsi="Times New Roman" w:cs="Times New Roman"/>
              <w:color w:val="auto"/>
            </w:rPr>
            <w:t>一、</w:t>
          </w:r>
          <w:r>
            <w:rPr>
              <w:rFonts w:hint="default" w:ascii="Times New Roman" w:hAnsi="Times New Roman" w:cs="Times New Roman" w:eastAsiaTheme="minorEastAsia"/>
              <w:color w:val="auto"/>
              <w:szCs w:val="22"/>
            </w:rPr>
            <w:tab/>
          </w:r>
          <w:r>
            <w:rPr>
              <w:rStyle w:val="20"/>
              <w:rFonts w:hint="default" w:ascii="Times New Roman" w:hAnsi="Times New Roman" w:cs="Times New Roman"/>
              <w:color w:val="auto"/>
            </w:rPr>
            <w:t>铸牢中华民族共同体意识</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_Toc71629992 \h </w:instrText>
          </w:r>
          <w:r>
            <w:rPr>
              <w:rFonts w:hint="default" w:ascii="Times New Roman" w:hAnsi="Times New Roman" w:cs="Times New Roman"/>
              <w:color w:val="auto"/>
            </w:rPr>
            <w:fldChar w:fldCharType="separate"/>
          </w:r>
          <w:r>
            <w:rPr>
              <w:rFonts w:hint="default" w:ascii="Times New Roman" w:hAnsi="Times New Roman" w:cs="Times New Roman"/>
              <w:color w:val="auto"/>
            </w:rPr>
            <w:t>29</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2"/>
            <w:tabs>
              <w:tab w:val="left" w:pos="126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"_Toc71629993" </w:instrText>
          </w:r>
          <w:r>
            <w:rPr>
              <w:rFonts w:hint="default" w:ascii="Times New Roman" w:hAnsi="Times New Roman" w:cs="Times New Roman"/>
              <w:color w:val="auto"/>
            </w:rPr>
            <w:fldChar w:fldCharType="separate"/>
          </w:r>
          <w:r>
            <w:rPr>
              <w:rStyle w:val="20"/>
              <w:rFonts w:hint="default" w:ascii="Times New Roman" w:hAnsi="Times New Roman" w:cs="Times New Roman"/>
              <w:bCs/>
              <w:color w:val="auto"/>
            </w:rPr>
            <w:t>二、</w:t>
          </w:r>
          <w:r>
            <w:rPr>
              <w:rFonts w:hint="default" w:ascii="Times New Roman" w:hAnsi="Times New Roman" w:cs="Times New Roman" w:eastAsiaTheme="minorEastAsia"/>
              <w:color w:val="auto"/>
              <w:szCs w:val="22"/>
            </w:rPr>
            <w:tab/>
          </w:r>
          <w:r>
            <w:rPr>
              <w:rStyle w:val="20"/>
              <w:rFonts w:hint="default" w:ascii="Times New Roman" w:hAnsi="Times New Roman" w:cs="Times New Roman"/>
              <w:color w:val="auto"/>
            </w:rPr>
            <w:t>加强民族基层党组织建设</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_Toc71629993 \h </w:instrText>
          </w:r>
          <w:r>
            <w:rPr>
              <w:rFonts w:hint="default" w:ascii="Times New Roman" w:hAnsi="Times New Roman" w:cs="Times New Roman"/>
              <w:color w:val="auto"/>
            </w:rPr>
            <w:fldChar w:fldCharType="separate"/>
          </w:r>
          <w:r>
            <w:rPr>
              <w:rFonts w:hint="default" w:ascii="Times New Roman" w:hAnsi="Times New Roman" w:cs="Times New Roman"/>
              <w:color w:val="auto"/>
            </w:rPr>
            <w:t>29</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2"/>
            <w:tabs>
              <w:tab w:val="left" w:pos="126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"_Toc71629994" </w:instrText>
          </w:r>
          <w:r>
            <w:rPr>
              <w:rFonts w:hint="default" w:ascii="Times New Roman" w:hAnsi="Times New Roman" w:cs="Times New Roman"/>
              <w:color w:val="auto"/>
            </w:rPr>
            <w:fldChar w:fldCharType="separate"/>
          </w:r>
          <w:r>
            <w:rPr>
              <w:rStyle w:val="20"/>
              <w:rFonts w:hint="default" w:ascii="Times New Roman" w:hAnsi="Times New Roman" w:cs="Times New Roman"/>
              <w:color w:val="auto"/>
            </w:rPr>
            <w:t>三、</w:t>
          </w:r>
          <w:r>
            <w:rPr>
              <w:rFonts w:hint="default" w:ascii="Times New Roman" w:hAnsi="Times New Roman" w:cs="Times New Roman" w:eastAsiaTheme="minorEastAsia"/>
              <w:color w:val="auto"/>
              <w:szCs w:val="22"/>
            </w:rPr>
            <w:tab/>
          </w:r>
          <w:r>
            <w:rPr>
              <w:rStyle w:val="20"/>
              <w:rFonts w:hint="default" w:ascii="Times New Roman" w:hAnsi="Times New Roman" w:cs="Times New Roman"/>
              <w:color w:val="auto"/>
            </w:rPr>
            <w:t>推进民族事务治理现代化</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_Toc71629994 \h </w:instrText>
          </w:r>
          <w:r>
            <w:rPr>
              <w:rFonts w:hint="default" w:ascii="Times New Roman" w:hAnsi="Times New Roman" w:cs="Times New Roman"/>
              <w:color w:val="auto"/>
            </w:rPr>
            <w:fldChar w:fldCharType="separate"/>
          </w:r>
          <w:r>
            <w:rPr>
              <w:rFonts w:hint="default" w:ascii="Times New Roman" w:hAnsi="Times New Roman" w:cs="Times New Roman"/>
              <w:color w:val="auto"/>
            </w:rPr>
            <w:t>30</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2"/>
            <w:tabs>
              <w:tab w:val="left" w:pos="126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"_Toc71629995" </w:instrText>
          </w:r>
          <w:r>
            <w:rPr>
              <w:rFonts w:hint="default" w:ascii="Times New Roman" w:hAnsi="Times New Roman" w:cs="Times New Roman"/>
              <w:color w:val="auto"/>
            </w:rPr>
            <w:fldChar w:fldCharType="separate"/>
          </w:r>
          <w:r>
            <w:rPr>
              <w:rStyle w:val="20"/>
              <w:rFonts w:hint="default" w:ascii="Times New Roman" w:hAnsi="Times New Roman" w:cs="Times New Roman"/>
              <w:color w:val="auto"/>
            </w:rPr>
            <w:t>四、</w:t>
          </w:r>
          <w:r>
            <w:rPr>
              <w:rFonts w:hint="default" w:ascii="Times New Roman" w:hAnsi="Times New Roman" w:cs="Times New Roman" w:eastAsiaTheme="minorEastAsia"/>
              <w:color w:val="auto"/>
              <w:szCs w:val="22"/>
            </w:rPr>
            <w:tab/>
          </w:r>
          <w:r>
            <w:rPr>
              <w:rStyle w:val="20"/>
              <w:rFonts w:hint="default" w:ascii="Times New Roman" w:hAnsi="Times New Roman" w:cs="Times New Roman"/>
              <w:color w:val="auto"/>
            </w:rPr>
            <w:t>加强民族团结进步创建工作</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_Toc71629995 \h </w:instrText>
          </w:r>
          <w:r>
            <w:rPr>
              <w:rFonts w:hint="default" w:ascii="Times New Roman" w:hAnsi="Times New Roman" w:cs="Times New Roman"/>
              <w:color w:val="auto"/>
            </w:rPr>
            <w:fldChar w:fldCharType="separate"/>
          </w:r>
          <w:r>
            <w:rPr>
              <w:rFonts w:hint="default" w:ascii="Times New Roman" w:hAnsi="Times New Roman" w:cs="Times New Roman"/>
              <w:color w:val="auto"/>
            </w:rPr>
            <w:t>31</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1"/>
            <w:tabs>
              <w:tab w:val="left" w:pos="105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"_Toc71629996" </w:instrText>
          </w:r>
          <w:r>
            <w:rPr>
              <w:rFonts w:hint="default" w:ascii="Times New Roman" w:hAnsi="Times New Roman" w:cs="Times New Roman"/>
              <w:color w:val="auto"/>
            </w:rPr>
            <w:fldChar w:fldCharType="separate"/>
          </w:r>
          <w:r>
            <w:rPr>
              <w:rStyle w:val="20"/>
              <w:rFonts w:hint="default" w:ascii="Times New Roman" w:hAnsi="Times New Roman" w:eastAsia="黑体" w:cs="Times New Roman"/>
              <w:color w:val="auto"/>
            </w:rPr>
            <w:t>第八章</w:t>
          </w:r>
          <w:r>
            <w:rPr>
              <w:rFonts w:hint="default" w:ascii="Times New Roman" w:hAnsi="Times New Roman" w:cs="Times New Roman" w:eastAsiaTheme="minorEastAsia"/>
              <w:color w:val="auto"/>
              <w:szCs w:val="22"/>
            </w:rPr>
            <w:tab/>
          </w:r>
          <w:r>
            <w:rPr>
              <w:rStyle w:val="20"/>
              <w:rFonts w:hint="default" w:ascii="Times New Roman" w:hAnsi="Times New Roman" w:eastAsia="黑体" w:cs="Times New Roman"/>
              <w:color w:val="auto"/>
            </w:rPr>
            <w:t>生态文明，构建民族团结进步大花园新样板</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_Toc71629996 \h </w:instrText>
          </w:r>
          <w:r>
            <w:rPr>
              <w:rFonts w:hint="default" w:ascii="Times New Roman" w:hAnsi="Times New Roman" w:cs="Times New Roman"/>
              <w:color w:val="auto"/>
            </w:rPr>
            <w:fldChar w:fldCharType="separate"/>
          </w:r>
          <w:r>
            <w:rPr>
              <w:rFonts w:hint="default" w:ascii="Times New Roman" w:hAnsi="Times New Roman" w:cs="Times New Roman"/>
              <w:color w:val="auto"/>
            </w:rPr>
            <w:t>33</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2"/>
            <w:tabs>
              <w:tab w:val="left" w:pos="126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"_Toc71629997" </w:instrText>
          </w:r>
          <w:r>
            <w:rPr>
              <w:rFonts w:hint="default" w:ascii="Times New Roman" w:hAnsi="Times New Roman" w:cs="Times New Roman"/>
              <w:color w:val="auto"/>
            </w:rPr>
            <w:fldChar w:fldCharType="separate"/>
          </w:r>
          <w:r>
            <w:rPr>
              <w:rStyle w:val="20"/>
              <w:rFonts w:hint="default" w:ascii="Times New Roman" w:hAnsi="Times New Roman" w:cs="Times New Roman"/>
              <w:color w:val="auto"/>
            </w:rPr>
            <w:t>一、</w:t>
          </w:r>
          <w:r>
            <w:rPr>
              <w:rFonts w:hint="default" w:ascii="Times New Roman" w:hAnsi="Times New Roman" w:cs="Times New Roman" w:eastAsiaTheme="minorEastAsia"/>
              <w:color w:val="auto"/>
              <w:szCs w:val="22"/>
            </w:rPr>
            <w:tab/>
          </w:r>
          <w:r>
            <w:rPr>
              <w:rStyle w:val="20"/>
              <w:rFonts w:hint="default" w:ascii="Times New Roman" w:hAnsi="Times New Roman" w:cs="Times New Roman"/>
              <w:color w:val="auto"/>
            </w:rPr>
            <w:t>强化国土空间治理</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_Toc71629997 \h </w:instrText>
          </w:r>
          <w:r>
            <w:rPr>
              <w:rFonts w:hint="default" w:ascii="Times New Roman" w:hAnsi="Times New Roman" w:cs="Times New Roman"/>
              <w:color w:val="auto"/>
            </w:rPr>
            <w:fldChar w:fldCharType="separate"/>
          </w:r>
          <w:r>
            <w:rPr>
              <w:rFonts w:hint="default" w:ascii="Times New Roman" w:hAnsi="Times New Roman" w:cs="Times New Roman"/>
              <w:color w:val="auto"/>
            </w:rPr>
            <w:t>33</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2"/>
            <w:tabs>
              <w:tab w:val="left" w:pos="126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"_Toc71629998" </w:instrText>
          </w:r>
          <w:r>
            <w:rPr>
              <w:rFonts w:hint="default" w:ascii="Times New Roman" w:hAnsi="Times New Roman" w:cs="Times New Roman"/>
              <w:color w:val="auto"/>
            </w:rPr>
            <w:fldChar w:fldCharType="separate"/>
          </w:r>
          <w:r>
            <w:rPr>
              <w:rStyle w:val="20"/>
              <w:rFonts w:hint="default" w:ascii="Times New Roman" w:hAnsi="Times New Roman" w:cs="Times New Roman"/>
              <w:color w:val="auto"/>
            </w:rPr>
            <w:t>二、</w:t>
          </w:r>
          <w:r>
            <w:rPr>
              <w:rFonts w:hint="default" w:ascii="Times New Roman" w:hAnsi="Times New Roman" w:cs="Times New Roman" w:eastAsiaTheme="minorEastAsia"/>
              <w:color w:val="auto"/>
              <w:szCs w:val="22"/>
            </w:rPr>
            <w:tab/>
          </w:r>
          <w:r>
            <w:rPr>
              <w:rStyle w:val="20"/>
              <w:rFonts w:hint="default" w:ascii="Times New Roman" w:hAnsi="Times New Roman" w:cs="Times New Roman"/>
              <w:color w:val="auto"/>
            </w:rPr>
            <w:t>推进环境污染治理</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_Toc71629998 \h </w:instrText>
          </w:r>
          <w:r>
            <w:rPr>
              <w:rFonts w:hint="default" w:ascii="Times New Roman" w:hAnsi="Times New Roman" w:cs="Times New Roman"/>
              <w:color w:val="auto"/>
            </w:rPr>
            <w:fldChar w:fldCharType="separate"/>
          </w:r>
          <w:r>
            <w:rPr>
              <w:rFonts w:hint="default" w:ascii="Times New Roman" w:hAnsi="Times New Roman" w:cs="Times New Roman"/>
              <w:color w:val="auto"/>
            </w:rPr>
            <w:t>33</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2"/>
            <w:tabs>
              <w:tab w:val="left" w:pos="126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"_Toc71629999" </w:instrText>
          </w:r>
          <w:r>
            <w:rPr>
              <w:rFonts w:hint="default" w:ascii="Times New Roman" w:hAnsi="Times New Roman" w:cs="Times New Roman"/>
              <w:color w:val="auto"/>
            </w:rPr>
            <w:fldChar w:fldCharType="separate"/>
          </w:r>
          <w:r>
            <w:rPr>
              <w:rStyle w:val="20"/>
              <w:rFonts w:hint="default" w:ascii="Times New Roman" w:hAnsi="Times New Roman" w:cs="Times New Roman"/>
              <w:color w:val="auto"/>
            </w:rPr>
            <w:t>三、</w:t>
          </w:r>
          <w:r>
            <w:rPr>
              <w:rFonts w:hint="default" w:ascii="Times New Roman" w:hAnsi="Times New Roman" w:cs="Times New Roman" w:eastAsiaTheme="minorEastAsia"/>
              <w:color w:val="auto"/>
              <w:szCs w:val="22"/>
            </w:rPr>
            <w:tab/>
          </w:r>
          <w:r>
            <w:rPr>
              <w:rStyle w:val="20"/>
              <w:rFonts w:hint="default" w:ascii="Times New Roman" w:hAnsi="Times New Roman" w:cs="Times New Roman"/>
              <w:color w:val="auto"/>
            </w:rPr>
            <w:t>拓展生态价值转化途径</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_Toc71629999 \h </w:instrText>
          </w:r>
          <w:r>
            <w:rPr>
              <w:rFonts w:hint="default" w:ascii="Times New Roman" w:hAnsi="Times New Roman" w:cs="Times New Roman"/>
              <w:color w:val="auto"/>
            </w:rPr>
            <w:fldChar w:fldCharType="separate"/>
          </w:r>
          <w:r>
            <w:rPr>
              <w:rFonts w:hint="default" w:ascii="Times New Roman" w:hAnsi="Times New Roman" w:cs="Times New Roman"/>
              <w:color w:val="auto"/>
            </w:rPr>
            <w:t>34</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1"/>
            <w:tabs>
              <w:tab w:val="left" w:pos="105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"_Toc71630000" </w:instrText>
          </w:r>
          <w:r>
            <w:rPr>
              <w:rFonts w:hint="default" w:ascii="Times New Roman" w:hAnsi="Times New Roman" w:cs="Times New Roman"/>
              <w:color w:val="auto"/>
            </w:rPr>
            <w:fldChar w:fldCharType="separate"/>
          </w:r>
          <w:r>
            <w:rPr>
              <w:rStyle w:val="20"/>
              <w:rFonts w:hint="default" w:ascii="Times New Roman" w:hAnsi="Times New Roman" w:eastAsia="黑体" w:cs="Times New Roman"/>
              <w:color w:val="auto"/>
            </w:rPr>
            <w:t>第九章</w:t>
          </w:r>
          <w:r>
            <w:rPr>
              <w:rFonts w:hint="default" w:ascii="Times New Roman" w:hAnsi="Times New Roman" w:cs="Times New Roman" w:eastAsiaTheme="minorEastAsia"/>
              <w:color w:val="auto"/>
              <w:szCs w:val="22"/>
            </w:rPr>
            <w:tab/>
          </w:r>
          <w:r>
            <w:rPr>
              <w:rStyle w:val="20"/>
              <w:rFonts w:hint="default" w:ascii="Times New Roman" w:hAnsi="Times New Roman" w:eastAsia="黑体" w:cs="Times New Roman"/>
              <w:color w:val="auto"/>
            </w:rPr>
            <w:t>保障措施</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_Toc71630000 \h </w:instrText>
          </w:r>
          <w:r>
            <w:rPr>
              <w:rFonts w:hint="default" w:ascii="Times New Roman" w:hAnsi="Times New Roman" w:cs="Times New Roman"/>
              <w:color w:val="auto"/>
            </w:rPr>
            <w:fldChar w:fldCharType="separate"/>
          </w:r>
          <w:r>
            <w:rPr>
              <w:rFonts w:hint="default" w:ascii="Times New Roman" w:hAnsi="Times New Roman" w:cs="Times New Roman"/>
              <w:color w:val="auto"/>
            </w:rPr>
            <w:t>35</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2"/>
            <w:tabs>
              <w:tab w:val="left" w:pos="126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"_Toc71630001" </w:instrText>
          </w:r>
          <w:r>
            <w:rPr>
              <w:rFonts w:hint="default" w:ascii="Times New Roman" w:hAnsi="Times New Roman" w:cs="Times New Roman"/>
              <w:color w:val="auto"/>
            </w:rPr>
            <w:fldChar w:fldCharType="separate"/>
          </w:r>
          <w:r>
            <w:rPr>
              <w:rStyle w:val="20"/>
              <w:rFonts w:hint="default" w:ascii="Times New Roman" w:hAnsi="Times New Roman" w:cs="Times New Roman"/>
              <w:color w:val="auto"/>
            </w:rPr>
            <w:t>一、</w:t>
          </w:r>
          <w:r>
            <w:rPr>
              <w:rFonts w:hint="default" w:ascii="Times New Roman" w:hAnsi="Times New Roman" w:cs="Times New Roman" w:eastAsiaTheme="minorEastAsia"/>
              <w:color w:val="auto"/>
              <w:szCs w:val="22"/>
            </w:rPr>
            <w:tab/>
          </w:r>
          <w:r>
            <w:rPr>
              <w:rStyle w:val="20"/>
              <w:rFonts w:hint="default" w:ascii="Times New Roman" w:hAnsi="Times New Roman" w:cs="Times New Roman"/>
              <w:color w:val="auto"/>
            </w:rPr>
            <w:t>强化规划组织实施</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_Toc71630001 \h </w:instrText>
          </w:r>
          <w:r>
            <w:rPr>
              <w:rFonts w:hint="default" w:ascii="Times New Roman" w:hAnsi="Times New Roman" w:cs="Times New Roman"/>
              <w:color w:val="auto"/>
            </w:rPr>
            <w:fldChar w:fldCharType="separate"/>
          </w:r>
          <w:r>
            <w:rPr>
              <w:rFonts w:hint="default" w:ascii="Times New Roman" w:hAnsi="Times New Roman" w:cs="Times New Roman"/>
              <w:color w:val="auto"/>
            </w:rPr>
            <w:t>35</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2"/>
            <w:tabs>
              <w:tab w:val="left" w:pos="126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"_Toc71630002" </w:instrText>
          </w:r>
          <w:r>
            <w:rPr>
              <w:rFonts w:hint="default" w:ascii="Times New Roman" w:hAnsi="Times New Roman" w:cs="Times New Roman"/>
              <w:color w:val="auto"/>
            </w:rPr>
            <w:fldChar w:fldCharType="separate"/>
          </w:r>
          <w:r>
            <w:rPr>
              <w:rStyle w:val="20"/>
              <w:rFonts w:hint="default" w:ascii="Times New Roman" w:hAnsi="Times New Roman" w:cs="Times New Roman"/>
              <w:color w:val="auto"/>
            </w:rPr>
            <w:t>二、</w:t>
          </w:r>
          <w:r>
            <w:rPr>
              <w:rFonts w:hint="default" w:ascii="Times New Roman" w:hAnsi="Times New Roman" w:cs="Times New Roman" w:eastAsiaTheme="minorEastAsia"/>
              <w:color w:val="auto"/>
              <w:szCs w:val="22"/>
            </w:rPr>
            <w:tab/>
          </w:r>
          <w:r>
            <w:rPr>
              <w:rStyle w:val="20"/>
              <w:rFonts w:hint="default" w:ascii="Times New Roman" w:hAnsi="Times New Roman" w:cs="Times New Roman"/>
              <w:color w:val="auto"/>
            </w:rPr>
            <w:t>强化要素政策保障</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_Toc71630002 \h </w:instrText>
          </w:r>
          <w:r>
            <w:rPr>
              <w:rFonts w:hint="default" w:ascii="Times New Roman" w:hAnsi="Times New Roman" w:cs="Times New Roman"/>
              <w:color w:val="auto"/>
            </w:rPr>
            <w:fldChar w:fldCharType="separate"/>
          </w:r>
          <w:r>
            <w:rPr>
              <w:rFonts w:hint="default" w:ascii="Times New Roman" w:hAnsi="Times New Roman" w:cs="Times New Roman"/>
              <w:color w:val="auto"/>
            </w:rPr>
            <w:t>35</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2"/>
            <w:tabs>
              <w:tab w:val="left" w:pos="126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"_Toc71630003" </w:instrText>
          </w:r>
          <w:r>
            <w:rPr>
              <w:rFonts w:hint="default" w:ascii="Times New Roman" w:hAnsi="Times New Roman" w:cs="Times New Roman"/>
              <w:color w:val="auto"/>
            </w:rPr>
            <w:fldChar w:fldCharType="separate"/>
          </w:r>
          <w:r>
            <w:rPr>
              <w:rStyle w:val="20"/>
              <w:rFonts w:hint="default" w:ascii="Times New Roman" w:hAnsi="Times New Roman" w:cs="Times New Roman"/>
              <w:color w:val="auto"/>
            </w:rPr>
            <w:t>三、</w:t>
          </w:r>
          <w:r>
            <w:rPr>
              <w:rFonts w:hint="default" w:ascii="Times New Roman" w:hAnsi="Times New Roman" w:cs="Times New Roman" w:eastAsiaTheme="minorEastAsia"/>
              <w:color w:val="auto"/>
              <w:szCs w:val="22"/>
            </w:rPr>
            <w:tab/>
          </w:r>
          <w:r>
            <w:rPr>
              <w:rStyle w:val="20"/>
              <w:rFonts w:hint="default" w:ascii="Times New Roman" w:hAnsi="Times New Roman" w:cs="Times New Roman"/>
              <w:color w:val="auto"/>
            </w:rPr>
            <w:t>强化科技人才支撑</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_Toc71630003 \h </w:instrText>
          </w:r>
          <w:r>
            <w:rPr>
              <w:rFonts w:hint="default" w:ascii="Times New Roman" w:hAnsi="Times New Roman" w:cs="Times New Roman"/>
              <w:color w:val="auto"/>
            </w:rPr>
            <w:fldChar w:fldCharType="separate"/>
          </w:r>
          <w:r>
            <w:rPr>
              <w:rFonts w:hint="default" w:ascii="Times New Roman" w:hAnsi="Times New Roman" w:cs="Times New Roman"/>
              <w:color w:val="auto"/>
            </w:rPr>
            <w:t>35</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2"/>
            <w:tabs>
              <w:tab w:val="left" w:pos="1260"/>
              <w:tab w:val="right" w:leader="dot" w:pos="8296"/>
            </w:tabs>
            <w:rPr>
              <w:rFonts w:hint="default" w:ascii="Times New Roman" w:hAnsi="Times New Roman" w:cs="Times New Roman" w:eastAsiaTheme="minorEastAsia"/>
              <w:color w:val="auto"/>
              <w:szCs w:val="22"/>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"_Toc71630004" </w:instrText>
          </w:r>
          <w:r>
            <w:rPr>
              <w:rFonts w:hint="default" w:ascii="Times New Roman" w:hAnsi="Times New Roman" w:cs="Times New Roman"/>
              <w:color w:val="auto"/>
            </w:rPr>
            <w:fldChar w:fldCharType="separate"/>
          </w:r>
          <w:r>
            <w:rPr>
              <w:rStyle w:val="20"/>
              <w:rFonts w:hint="default" w:ascii="Times New Roman" w:hAnsi="Times New Roman" w:cs="Times New Roman"/>
              <w:color w:val="auto"/>
            </w:rPr>
            <w:t>四、</w:t>
          </w:r>
          <w:r>
            <w:rPr>
              <w:rFonts w:hint="default" w:ascii="Times New Roman" w:hAnsi="Times New Roman" w:cs="Times New Roman" w:eastAsiaTheme="minorEastAsia"/>
              <w:color w:val="auto"/>
              <w:szCs w:val="22"/>
            </w:rPr>
            <w:tab/>
          </w:r>
          <w:r>
            <w:rPr>
              <w:rStyle w:val="20"/>
              <w:rFonts w:hint="default" w:ascii="Times New Roman" w:hAnsi="Times New Roman" w:cs="Times New Roman"/>
              <w:color w:val="auto"/>
            </w:rPr>
            <w:t>强化社会氛围营造</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_Toc71630004 \h </w:instrText>
          </w:r>
          <w:r>
            <w:rPr>
              <w:rFonts w:hint="default" w:ascii="Times New Roman" w:hAnsi="Times New Roman" w:cs="Times New Roman"/>
              <w:color w:val="auto"/>
            </w:rPr>
            <w:fldChar w:fldCharType="separate"/>
          </w:r>
          <w:r>
            <w:rPr>
              <w:rFonts w:hint="default" w:ascii="Times New Roman" w:hAnsi="Times New Roman" w:cs="Times New Roman"/>
              <w:color w:val="auto"/>
            </w:rPr>
            <w:t>36</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rPr>
              <w:rFonts w:hint="default" w:ascii="Times New Roman" w:hAnsi="Times New Roman" w:cs="Times New Roman"/>
              <w:color w:val="auto"/>
            </w:rPr>
          </w:pPr>
          <w:r>
            <w:rPr>
              <w:rFonts w:hint="default" w:ascii="Times New Roman" w:hAnsi="Times New Roman" w:cs="Times New Roman"/>
              <w:color w:val="auto"/>
            </w:rPr>
            <w:fldChar w:fldCharType="end"/>
          </w:r>
        </w:p>
      </w:sdtContent>
    </w:sdt>
    <w:p>
      <w:pPr>
        <w:pStyle w:val="2"/>
        <w:numPr>
          <w:ilvl w:val="0"/>
          <w:numId w:val="1"/>
        </w:numPr>
        <w:spacing w:beforeLines="50" w:afterLines="50"/>
        <w:jc w:val="center"/>
        <w:rPr>
          <w:rFonts w:hint="default" w:ascii="Times New Roman" w:hAnsi="Times New Roman" w:eastAsia="方正小标宋简体" w:cs="Times New Roman"/>
          <w:b w:val="0"/>
          <w:bCs/>
          <w:color w:val="auto"/>
          <w:sz w:val="36"/>
          <w:szCs w:val="36"/>
        </w:rPr>
      </w:pPr>
      <w:bookmarkStart w:id="0" w:name="_Toc451846505"/>
      <w:r>
        <w:rPr>
          <w:rFonts w:hint="default" w:ascii="Times New Roman" w:hAnsi="Times New Roman" w:eastAsia="方正小标宋简体" w:cs="Times New Roman"/>
          <w:b w:val="0"/>
          <w:bCs/>
          <w:color w:val="auto"/>
          <w:sz w:val="36"/>
          <w:szCs w:val="36"/>
        </w:rPr>
        <w:t xml:space="preserve"> </w:t>
      </w:r>
      <w:bookmarkStart w:id="1" w:name="_Toc71629964"/>
      <w:r>
        <w:rPr>
          <w:rFonts w:hint="default" w:ascii="Times New Roman" w:hAnsi="Times New Roman" w:eastAsia="方正小标宋简体" w:cs="Times New Roman"/>
          <w:b w:val="0"/>
          <w:bCs/>
          <w:color w:val="auto"/>
          <w:sz w:val="36"/>
          <w:szCs w:val="36"/>
        </w:rPr>
        <w:t>发展现状</w:t>
      </w:r>
      <w:bookmarkEnd w:id="0"/>
      <w:bookmarkEnd w:id="1"/>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平阳县是省、市少数民族工作重点县之一，常住人口2万多人，少数民族外来暂住人口3.8万多人,现有畲族、回族等39个少数民族。少数民族常住人口以畲族为主体，小聚居大分散的居住格局分布在全县16个乡镇，全县有一个民族乡和12个民族村，少数民族人口在100人以上的有42个村。外来少数民族人口主要来自贵州、湖南、湖北、甘肃、云南等省区，大多在经济发达城镇从事经商、务工等活动。</w:t>
      </w:r>
    </w:p>
    <w:p>
      <w:pPr>
        <w:pStyle w:val="3"/>
        <w:keepNext/>
        <w:keepLines/>
        <w:pageBreakBefore w:val="0"/>
        <w:widowControl w:val="0"/>
        <w:numPr>
          <w:ilvl w:val="0"/>
          <w:numId w:val="2"/>
        </w:numPr>
        <w:kinsoku/>
        <w:wordWrap/>
        <w:overflowPunct/>
        <w:topLinePunct w:val="0"/>
        <w:autoSpaceDE/>
        <w:autoSpaceDN/>
        <w:bidi w:val="0"/>
        <w:adjustRightInd/>
        <w:snapToGrid/>
        <w:spacing w:before="0" w:after="0" w:line="560" w:lineRule="exact"/>
        <w:ind w:firstLine="640" w:firstLineChars="200"/>
        <w:textAlignment w:val="auto"/>
        <w:rPr>
          <w:rFonts w:hint="default" w:ascii="Times New Roman" w:hAnsi="Times New Roman" w:cs="Times New Roman"/>
          <w:b w:val="0"/>
          <w:bCs/>
          <w:color w:val="auto"/>
        </w:rPr>
      </w:pPr>
      <w:bookmarkStart w:id="2" w:name="_Toc71629965"/>
      <w:bookmarkStart w:id="3" w:name="_Toc439313257"/>
      <w:bookmarkStart w:id="4" w:name="_Toc451846506"/>
      <w:bookmarkStart w:id="5" w:name="_Toc50031314"/>
      <w:r>
        <w:rPr>
          <w:rFonts w:hint="default" w:ascii="Times New Roman" w:hAnsi="Times New Roman" w:cs="Times New Roman"/>
          <w:b w:val="0"/>
          <w:bCs/>
          <w:color w:val="auto"/>
        </w:rPr>
        <w:t>发展回顾</w:t>
      </w:r>
      <w:bookmarkEnd w:id="2"/>
      <w:bookmarkEnd w:id="3"/>
      <w:bookmarkEnd w:id="4"/>
      <w:bookmarkEnd w:id="5"/>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三五”时期，县委县政府高度重视民族工作，认真贯彻执行党和国家民族政策，围绕少数民族和民族地区同步全面实现“四翻番”目标，坚持精准发力、精准帮扶，实现少数民族和民族地区的全面发展进步，开创了民族团结进步事业的新局面。为“十四五”发展打下了坚实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sz w:val="32"/>
          <w:szCs w:val="32"/>
        </w:rPr>
        <w:t>1.民族团结进步事业持续推进。</w:t>
      </w:r>
      <w:r>
        <w:rPr>
          <w:rFonts w:hint="default" w:ascii="Times New Roman" w:hAnsi="Times New Roman" w:eastAsia="仿宋_GB2312" w:cs="Times New Roman"/>
          <w:color w:val="auto"/>
          <w:sz w:val="32"/>
          <w:szCs w:val="32"/>
        </w:rPr>
        <w:t>全面推进民族团结进步“石榴籽”工程，围绕贯彻落实国家、省、市民族工作指示精神，持续开展民族干部各类学习活动，开展民族团结进步宣传月活动、少数民族代表人士学习会等。积极指导平阳武校参加2018年全省第六届少数民族传统体育运动会，平阳运动员共获得6金9银5铜的好成绩，2019年全国第十一届少数民族传统体育运动会取得1个一等奖，1个二等奖，2个三等奖。青街畲族乡和平阳县武术学校分别获批温州市民族文化体育示范培育基地和温州市民族传统体育示范培育基地称号。海西镇宋埠民族小学被评为温州市民族团结进步示范单位培育名录，水头镇少数民族幼儿园被评为浙江省民族团结进步示范单位。平阳县少数民族村红十字“博爱超市”在青街乡九岱民族村成功揭牌，成为民族团结进步的重要平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sz w:val="32"/>
          <w:szCs w:val="32"/>
        </w:rPr>
        <w:t>2.民族乡村振兴发展成效显著。</w:t>
      </w:r>
      <w:r>
        <w:rPr>
          <w:rFonts w:hint="default" w:ascii="Times New Roman" w:hAnsi="Times New Roman" w:eastAsia="仿宋_GB2312" w:cs="Times New Roman"/>
          <w:color w:val="auto"/>
          <w:sz w:val="32"/>
          <w:szCs w:val="32"/>
        </w:rPr>
        <w:t>全面推进民族乡村产业振兴、人才振兴、文化振兴、生态振兴和组织振兴。通过多渠道精准帮扶，民族群众增收与民族村集体经济增收持续提升， 12个民族村集体经济收入达到</w:t>
      </w:r>
      <w:r>
        <w:rPr>
          <w:rFonts w:hint="default" w:ascii="Times New Roman" w:hAnsi="Times New Roman" w:eastAsia="仿宋_GB2312" w:cs="Times New Roman"/>
          <w:b/>
          <w:color w:val="auto"/>
          <w:sz w:val="32"/>
          <w:szCs w:val="32"/>
        </w:rPr>
        <w:t>20</w:t>
      </w:r>
      <w:r>
        <w:rPr>
          <w:rFonts w:hint="default" w:ascii="Times New Roman" w:hAnsi="Times New Roman" w:eastAsia="仿宋_GB2312" w:cs="Times New Roman"/>
          <w:color w:val="auto"/>
          <w:sz w:val="32"/>
          <w:szCs w:val="32"/>
        </w:rPr>
        <w:t>万元以上，其中经营性收入达</w:t>
      </w:r>
      <w:r>
        <w:rPr>
          <w:rFonts w:hint="default" w:ascii="Times New Roman" w:hAnsi="Times New Roman" w:eastAsia="仿宋_GB2312" w:cs="Times New Roman"/>
          <w:b/>
          <w:color w:val="auto"/>
          <w:sz w:val="32"/>
          <w:szCs w:val="32"/>
        </w:rPr>
        <w:t>15</w:t>
      </w:r>
      <w:r>
        <w:rPr>
          <w:rFonts w:hint="default" w:ascii="Times New Roman" w:hAnsi="Times New Roman" w:eastAsia="仿宋_GB2312" w:cs="Times New Roman"/>
          <w:color w:val="auto"/>
          <w:sz w:val="32"/>
          <w:szCs w:val="32"/>
        </w:rPr>
        <w:t>万元以上，少数民族人均可支配收入年平均增速达10%以上，青街畲族乡人均可支配收入高居全省民族乡镇第二名。“十三五”期间，</w:t>
      </w:r>
      <w:r>
        <w:rPr>
          <w:rFonts w:hint="default" w:ascii="Times New Roman" w:hAnsi="Times New Roman" w:eastAsia="仿宋_GB2312" w:cs="Times New Roman"/>
          <w:b/>
          <w:color w:val="auto"/>
          <w:sz w:val="32"/>
          <w:szCs w:val="32"/>
        </w:rPr>
        <w:t>平阳县支持民族乡村建设资金6.5亿元（近三年5.5亿元）</w:t>
      </w:r>
      <w:r>
        <w:rPr>
          <w:rFonts w:hint="default" w:ascii="Times New Roman" w:hAnsi="Times New Roman" w:eastAsia="仿宋_GB2312" w:cs="Times New Roman"/>
          <w:color w:val="auto"/>
          <w:sz w:val="32"/>
          <w:szCs w:val="32"/>
        </w:rPr>
        <w:t>，其中落实少数民族发展专项资金1802万元落地项目86多个，推进民族地区农村道路、市政基础设施、公共服务、产业项目等各领域建设，民族乡村振兴建设全面推进。大力推进 “畲乡竹海”乡村振兴示范带建设，精心打造一批民族特色村寨，累计创建4个中国少数民族特色村寨，现有国家级民族特色村寨占比和数量均为全市第一。打造一批省市级美丽乡村示范精品线、示范精品村，形成青街九岱村、王神洞村、南雁堂基村、顺溪溪南村等美丽乡村示范点。累计建成省级新时代美丽乡村达标村2个，完成美丽田园建设960亩，青街竹海畲乡美丽田园入选平阳县最美田园。</w:t>
      </w:r>
    </w:p>
    <w:tbl>
      <w:tblPr>
        <w:tblStyle w:val="16"/>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0" w:type="dxa"/>
          </w:tcPr>
          <w:p>
            <w:pPr>
              <w:widowControl/>
              <w:spacing w:line="440" w:lineRule="exact"/>
              <w:rPr>
                <w:rFonts w:hint="default" w:ascii="Times New Roman" w:hAnsi="Times New Roman" w:eastAsia="仿宋_GB2312" w:cs="Times New Roman"/>
                <w:b/>
                <w:color w:val="auto"/>
                <w:sz w:val="28"/>
                <w:szCs w:val="28"/>
              </w:rPr>
            </w:pPr>
            <w:r>
              <w:rPr>
                <w:rFonts w:hint="default" w:ascii="Times New Roman" w:hAnsi="Times New Roman" w:eastAsia="黑体" w:cs="Times New Roman"/>
                <w:b w:val="0"/>
                <w:bCs/>
                <w:color w:val="auto"/>
                <w:sz w:val="28"/>
                <w:szCs w:val="28"/>
              </w:rPr>
              <w:t>专栏1-2：特色小镇和特色村寨建设成效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0" w:type="dxa"/>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——省级旅游风情小镇：青街畲族乡</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——中国少数民族特色村寨：堂基民族村、王神洞民族村、新联民族村和九岱民族村；</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——浙江省美丽乡村精品村：鳌江镇书阁民族村、水头镇新联民族村和顺溪镇溪南民族村；</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——省少数民族特色村寨培育名录：鳌江镇书阁民族村；</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——省少数民族特色村寨培育名录提名名单：顺溪镇溪南民族村；</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——国家森林乡村：九岱民族村和王神洞民族村；</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sz w:val="32"/>
          <w:szCs w:val="32"/>
        </w:rPr>
        <w:t>3.社会文化事业全面进步。</w:t>
      </w:r>
      <w:r>
        <w:rPr>
          <w:rFonts w:hint="default" w:ascii="Times New Roman" w:hAnsi="Times New Roman" w:eastAsia="仿宋_GB2312" w:cs="Times New Roman"/>
          <w:color w:val="auto"/>
          <w:sz w:val="32"/>
          <w:szCs w:val="32"/>
        </w:rPr>
        <w:t>持续开展“三月三”畲族风情旅游节，“畲”字号旅游招牌持续唱响。进一步保护民族语言文化，先后成立蓝宏山哈和凤凰畲族工作室两个文化阵地建设。成功举办2020年民体杯全国陀螺比赛暨首届温州市少数民族全民健身传统体育运动会。在浙江省委党校平阳分校，增挂浙江省民族干部教育基地，提升少数民族党员素质，加强少数民族党政人才培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sz w:val="32"/>
          <w:szCs w:val="32"/>
        </w:rPr>
        <w:t>4.扶贫工作稳步推进。</w:t>
      </w:r>
      <w:r>
        <w:rPr>
          <w:rFonts w:hint="default" w:ascii="Times New Roman" w:hAnsi="Times New Roman" w:eastAsia="仿宋_GB2312" w:cs="Times New Roman"/>
          <w:color w:val="auto"/>
          <w:sz w:val="32"/>
          <w:szCs w:val="32"/>
        </w:rPr>
        <w:t>注重少数民族地区脱贫工作，“十三五”期间共下达少数民族教育资金150万元，下达少数民族医疗补助经费60万元。开展就业扶贫，通过对招收少数民族低收入农户的企业进行补助，激励民族地区企业招收少数民族企业员工。开展产业扶贫，一是村集体增收项目的通过集体收入部分进行再分配给村低收入农户，达到村低收入农户增收，如新联村的畲茶主题餐厅通过出租形式增加村集体收入后部分再分配给村低收入农户。二是创建的村集体项目有计划的带动有劳动能力的低收入农户就业，达到增收目的。</w:t>
      </w:r>
    </w:p>
    <w:p>
      <w:pPr>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sz w:val="32"/>
          <w:szCs w:val="32"/>
        </w:rPr>
        <w:t>5.民族人才招引培育全面提升。</w:t>
      </w:r>
      <w:r>
        <w:rPr>
          <w:rFonts w:hint="default" w:ascii="Times New Roman" w:hAnsi="Times New Roman" w:eastAsia="仿宋_GB2312" w:cs="Times New Roman"/>
          <w:color w:val="auto"/>
          <w:sz w:val="32"/>
          <w:szCs w:val="32"/>
        </w:rPr>
        <w:t>兑现民族政策，五年招录少数民族公务员XX名，事业单位干部XX名；每年报考我县高中学校的少数民族考生，享受10分政策加分待遇。共计举办5期少数民族乡村干部和致富带头人培训班，培训人员200人次。</w:t>
      </w:r>
    </w:p>
    <w:p>
      <w:pPr>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由于区位和历史等原因，平阳县少数民族事业发展仍面临一些特殊困难和短板问题：一是经济社会发展总体滞后，产业发展层次水平偏低，产业融合尚处于起步阶段，民族乡村建设较薄弱。二是区域发展不平衡，资源环境约束大，基础设施和基本公共服务供给仍不足。三是新旧动能转换能力弱，创新要素缺乏，资源优势尚未转化为产业优势、经济优势和竞争优势。四是民族文化保护传承亟待加强，文化展示、艺术精品创作、历史遗产的抢救保护还有局限。五是社会管理精细化水平仍有待提高，现代化的治理体系和治理方式需加快建立健全。</w:t>
      </w:r>
    </w:p>
    <w:p>
      <w:pPr>
        <w:pStyle w:val="3"/>
        <w:keepNext/>
        <w:keepLines/>
        <w:pageBreakBefore w:val="0"/>
        <w:widowControl w:val="0"/>
        <w:numPr>
          <w:ilvl w:val="0"/>
          <w:numId w:val="2"/>
        </w:numPr>
        <w:kinsoku/>
        <w:wordWrap/>
        <w:overflowPunct/>
        <w:topLinePunct w:val="0"/>
        <w:autoSpaceDE/>
        <w:autoSpaceDN/>
        <w:bidi w:val="0"/>
        <w:adjustRightInd/>
        <w:snapToGrid/>
        <w:spacing w:before="0" w:after="0" w:line="560" w:lineRule="exact"/>
        <w:ind w:firstLine="640" w:firstLineChars="200"/>
        <w:textAlignment w:val="auto"/>
        <w:rPr>
          <w:rFonts w:hint="default" w:ascii="Times New Roman" w:hAnsi="Times New Roman" w:cs="Times New Roman"/>
          <w:b w:val="0"/>
          <w:bCs/>
          <w:color w:val="auto"/>
        </w:rPr>
      </w:pPr>
      <w:bookmarkStart w:id="6" w:name="_Toc71629966"/>
      <w:bookmarkStart w:id="7" w:name="_Toc50031315"/>
      <w:r>
        <w:rPr>
          <w:rFonts w:hint="default" w:ascii="Times New Roman" w:hAnsi="Times New Roman" w:cs="Times New Roman"/>
          <w:b w:val="0"/>
          <w:bCs/>
          <w:color w:val="auto"/>
        </w:rPr>
        <w:t>发展机遇</w:t>
      </w:r>
      <w:bookmarkEnd w:id="6"/>
      <w:bookmarkEnd w:id="7"/>
    </w:p>
    <w:p>
      <w:pPr>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当今世界正经历百年未有之大变局，“十四五”时期，外部环境发生深刻复杂变化，我县少数民族和民族地区发展呈现新的特点，迎来新的机遇和挑战。</w:t>
      </w:r>
    </w:p>
    <w:p>
      <w:pPr>
        <w:pStyle w:val="28"/>
        <w:pageBreakBefore w:val="0"/>
        <w:widowControl/>
        <w:kinsoku/>
        <w:wordWrap/>
        <w:overflowPunct/>
        <w:topLinePunct w:val="0"/>
        <w:autoSpaceDE/>
        <w:autoSpaceDN/>
        <w:bidi w:val="0"/>
        <w:spacing w:line="560" w:lineRule="exact"/>
        <w:ind w:left="420" w:firstLine="0" w:firstLineChars="0"/>
        <w:textAlignment w:val="auto"/>
        <w:rPr>
          <w:rFonts w:hint="default" w:ascii="Times New Roman" w:hAnsi="Times New Roman" w:eastAsia="楷体_GB2312" w:cs="Times New Roman"/>
          <w:b w:val="0"/>
          <w:bCs/>
          <w:color w:val="auto"/>
          <w:kern w:val="2"/>
          <w:sz w:val="32"/>
          <w:szCs w:val="32"/>
          <w:lang w:val="en-US" w:eastAsia="zh-CN" w:bidi="ar-SA"/>
        </w:rPr>
      </w:pPr>
      <w:r>
        <w:rPr>
          <w:rFonts w:hint="default" w:ascii="Times New Roman" w:hAnsi="Times New Roman" w:eastAsia="楷体_GB2312" w:cs="Times New Roman"/>
          <w:b w:val="0"/>
          <w:bCs/>
          <w:color w:val="auto"/>
          <w:kern w:val="2"/>
          <w:sz w:val="32"/>
          <w:szCs w:val="32"/>
          <w:lang w:val="en-US" w:eastAsia="zh-CN" w:bidi="ar-SA"/>
        </w:rPr>
        <w:t>1.宏观环境来看</w:t>
      </w:r>
    </w:p>
    <w:p>
      <w:pPr>
        <w:pageBreakBefore w:val="0"/>
        <w:widowControl/>
        <w:kinsoku/>
        <w:wordWrap/>
        <w:overflowPunct/>
        <w:topLinePunct w:val="0"/>
        <w:autoSpaceDE/>
        <w:autoSpaceDN/>
        <w:bidi w:val="0"/>
        <w:spacing w:line="560" w:lineRule="exact"/>
        <w:ind w:firstLine="630" w:firstLineChars="196"/>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——高层次顶层设计带来的政策红利期。</w:t>
      </w:r>
      <w:r>
        <w:rPr>
          <w:rFonts w:hint="default" w:ascii="Times New Roman" w:hAnsi="Times New Roman" w:eastAsia="仿宋_GB2312" w:cs="Times New Roman"/>
          <w:color w:val="auto"/>
          <w:sz w:val="32"/>
          <w:szCs w:val="32"/>
        </w:rPr>
        <w:t>铸牢中华民族共同体意识是习近平总书记提出的原创性论断,党的十九大将其写入党章。在全国民族团结进步表彰大会上，习近平主席提出要谋划好“十四五”时期少数民族和民族地区发展，让各族人民共创美好未来、共享中华民族新的光荣和梦想。高度关注的顶层设计为平阳贯彻落实民族团结进步事业，推进少数民族和民族地区发展指明了方向。</w:t>
      </w:r>
    </w:p>
    <w:p>
      <w:pPr>
        <w:pageBreakBefore w:val="0"/>
        <w:widowControl/>
        <w:kinsoku/>
        <w:wordWrap/>
        <w:overflowPunct/>
        <w:topLinePunct w:val="0"/>
        <w:autoSpaceDE/>
        <w:autoSpaceDN/>
        <w:bidi w:val="0"/>
        <w:spacing w:line="560" w:lineRule="exact"/>
        <w:ind w:firstLine="630" w:firstLineChars="196"/>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——高质量发展要求带来的绿色转换期。</w:t>
      </w:r>
      <w:r>
        <w:rPr>
          <w:rFonts w:hint="default" w:ascii="Times New Roman" w:hAnsi="Times New Roman" w:eastAsia="仿宋_GB2312" w:cs="Times New Roman"/>
          <w:color w:val="auto"/>
          <w:sz w:val="32"/>
          <w:szCs w:val="32"/>
        </w:rPr>
        <w:t>进入新时代，我国经济已由高速增长阶段转向高质量发展阶段。少数民族地区经济相对落后，要推进脱贫攻坚实现经济发展，但其也是生态相对脆弱的地区，高质量发展要求既守住绿水青山，又促进地方经济社会发展。“十四五”时期是平阳民族地区加速“两山”转换通道，实现生态经济高质量发展的重要时期。</w:t>
      </w:r>
    </w:p>
    <w:p>
      <w:pPr>
        <w:pageBreakBefore w:val="0"/>
        <w:widowControl/>
        <w:kinsoku/>
        <w:wordWrap/>
        <w:overflowPunct/>
        <w:topLinePunct w:val="0"/>
        <w:autoSpaceDE/>
        <w:autoSpaceDN/>
        <w:bidi w:val="0"/>
        <w:spacing w:line="560" w:lineRule="exact"/>
        <w:ind w:firstLine="630" w:firstLineChars="196"/>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——新发展格局导向带来的文旅机遇期。</w:t>
      </w:r>
      <w:r>
        <w:rPr>
          <w:rFonts w:hint="default" w:ascii="Times New Roman" w:hAnsi="Times New Roman" w:eastAsia="仿宋_GB2312" w:cs="Times New Roman"/>
          <w:color w:val="auto"/>
          <w:sz w:val="32"/>
          <w:szCs w:val="32"/>
        </w:rPr>
        <w:t>新冠疫情长期持续的宏观背景下，党的十九届五中全会提出，要加快构建以国内大循环为主体、国内国际双循环相互促进的新发展格局</w:t>
      </w:r>
      <w:bookmarkStart w:id="57" w:name="_GoBack"/>
      <w:bookmarkEnd w:id="57"/>
      <w:r>
        <w:rPr>
          <w:rFonts w:hint="default" w:ascii="Times New Roman" w:hAnsi="Times New Roman" w:eastAsia="仿宋_GB2312" w:cs="Times New Roman"/>
          <w:color w:val="auto"/>
          <w:sz w:val="32"/>
          <w:szCs w:val="32"/>
        </w:rPr>
        <w:t>。要求要坚持扩大内需战略基点，加快培育完整内需体系，加快发展文化、旅游等服务业，为以文旅产业为主导的平阳少数民族地区，带来了繁荣旅游市场、释放内需潜力的发展机遇。</w:t>
      </w:r>
    </w:p>
    <w:p>
      <w:pPr>
        <w:pageBreakBefore w:val="0"/>
        <w:widowControl/>
        <w:kinsoku/>
        <w:wordWrap/>
        <w:overflowPunct/>
        <w:topLinePunct w:val="0"/>
        <w:autoSpaceDE/>
        <w:autoSpaceDN/>
        <w:bidi w:val="0"/>
        <w:spacing w:line="560" w:lineRule="exact"/>
        <w:ind w:firstLine="630" w:firstLineChars="196"/>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——信息化科技革命带来的市场拓展期。</w:t>
      </w:r>
      <w:r>
        <w:rPr>
          <w:rFonts w:hint="default" w:ascii="Times New Roman" w:hAnsi="Times New Roman" w:eastAsia="仿宋_GB2312" w:cs="Times New Roman"/>
          <w:color w:val="auto"/>
          <w:sz w:val="32"/>
          <w:szCs w:val="32"/>
        </w:rPr>
        <w:t>以大数据、互联网、物联网、人工智能等为代表的新一轮信息技术不断突破，深刻改变着人们的生产生活方式。为文旅、农业等供给方式、消费场景、宣传推广等带来了新理念新业态新模式，能够有效推动平阳少数民族地区优势资源产业化、市场化发展。</w:t>
      </w:r>
    </w:p>
    <w:p>
      <w:pPr>
        <w:pStyle w:val="28"/>
        <w:pageBreakBefore w:val="0"/>
        <w:widowControl/>
        <w:kinsoku/>
        <w:wordWrap/>
        <w:overflowPunct/>
        <w:topLinePunct w:val="0"/>
        <w:autoSpaceDE/>
        <w:autoSpaceDN/>
        <w:bidi w:val="0"/>
        <w:spacing w:line="560" w:lineRule="exact"/>
        <w:ind w:left="420" w:firstLine="0" w:firstLineChars="0"/>
        <w:textAlignment w:val="auto"/>
        <w:rPr>
          <w:rFonts w:hint="default" w:ascii="Times New Roman" w:hAnsi="Times New Roman" w:eastAsia="楷体_GB2312" w:cs="Times New Roman"/>
          <w:b w:val="0"/>
          <w:bCs/>
          <w:color w:val="auto"/>
          <w:kern w:val="2"/>
          <w:sz w:val="32"/>
          <w:szCs w:val="32"/>
          <w:lang w:val="en-US" w:eastAsia="zh-CN" w:bidi="ar-SA"/>
        </w:rPr>
      </w:pPr>
      <w:r>
        <w:rPr>
          <w:rFonts w:hint="default" w:ascii="Times New Roman" w:hAnsi="Times New Roman" w:eastAsia="楷体_GB2312" w:cs="Times New Roman"/>
          <w:b w:val="0"/>
          <w:bCs/>
          <w:color w:val="auto"/>
          <w:kern w:val="2"/>
          <w:sz w:val="32"/>
          <w:szCs w:val="32"/>
          <w:lang w:val="en-US" w:eastAsia="zh-CN" w:bidi="ar-SA"/>
        </w:rPr>
        <w:t>2.平阳环境来看</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“十四五”时期，我县紧紧围绕“温州大都市区副中心”总目标定位，聚焦核心竞争力、发展驱动力和区域影响力，聚力打造温州南部时尚智造集聚区、温州南部文化引领示 范区、温州平安建设标杆地区、温州南部交通枢纽中心和鳌江流域现代服务业中心，为我县少数民族地区发展带来了机遇。</w:t>
      </w:r>
    </w:p>
    <w:p>
      <w:pPr>
        <w:pageBreakBefore w:val="0"/>
        <w:widowControl/>
        <w:kinsoku/>
        <w:wordWrap/>
        <w:overflowPunct/>
        <w:topLinePunct w:val="0"/>
        <w:autoSpaceDE/>
        <w:autoSpaceDN/>
        <w:bidi w:val="0"/>
        <w:spacing w:line="560" w:lineRule="exact"/>
        <w:ind w:firstLine="472" w:firstLineChars="147"/>
        <w:textAlignment w:val="auto"/>
        <w:rPr>
          <w:rFonts w:hint="default" w:ascii="Times New Roman" w:hAnsi="Times New Roman" w:eastAsia="仿宋_GB2312" w:cs="Times New Roman"/>
          <w:color w:val="auto"/>
          <w:kern w:val="0"/>
          <w:sz w:val="31"/>
          <w:szCs w:val="31"/>
        </w:rPr>
      </w:pPr>
      <w:r>
        <w:rPr>
          <w:rFonts w:hint="default" w:ascii="Times New Roman" w:hAnsi="Times New Roman" w:eastAsia="仿宋_GB2312" w:cs="Times New Roman"/>
          <w:b/>
          <w:color w:val="auto"/>
          <w:sz w:val="32"/>
          <w:szCs w:val="32"/>
        </w:rPr>
        <w:t>——综合交通构架下的要素流通机遇。</w:t>
      </w:r>
      <w:r>
        <w:rPr>
          <w:rFonts w:hint="default" w:ascii="Times New Roman" w:hAnsi="Times New Roman" w:eastAsia="仿宋_GB2312" w:cs="Times New Roman"/>
          <w:color w:val="auto"/>
          <w:kern w:val="0"/>
          <w:sz w:val="32"/>
          <w:szCs w:val="32"/>
        </w:rPr>
        <w:t>抓住</w:t>
      </w:r>
      <w:r>
        <w:rPr>
          <w:rFonts w:hint="default" w:ascii="Times New Roman" w:hAnsi="Times New Roman" w:eastAsia="仿宋_GB2312" w:cs="Times New Roman"/>
          <w:color w:val="auto"/>
          <w:kern w:val="0"/>
          <w:sz w:val="31"/>
          <w:szCs w:val="31"/>
        </w:rPr>
        <w:t xml:space="preserve">浙江推进高水平交通强省建设机遇，主动融入长三角区域一体化发展，积极参与浙江省大通道建设，持续强化区域综合交通枢纽作用，加快推进海港陆港空港信息港“四港”联动发展，大力发展枢纽经济，努力把交通枢纽优势转化为经济发展优势，打造温州都市区南部副中心。         </w:t>
      </w:r>
    </w:p>
    <w:p>
      <w:pPr>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color w:val="auto"/>
          <w:sz w:val="32"/>
          <w:szCs w:val="32"/>
        </w:rPr>
        <w:t>——现代产业体系格局下的市场集聚机遇。</w:t>
      </w:r>
      <w:r>
        <w:rPr>
          <w:rFonts w:hint="default" w:ascii="Times New Roman" w:hAnsi="Times New Roman" w:eastAsia="仿宋_GB2312" w:cs="Times New Roman"/>
          <w:color w:val="auto"/>
          <w:kern w:val="0"/>
          <w:sz w:val="32"/>
          <w:szCs w:val="32"/>
        </w:rPr>
        <w:t>以“时尚”、“科技”引领工业转型升级，重塑传统产业核心竞争力，加快培育新兴产业链群，形成“时尚轻工+高端智造”为主导的现代工业体系；以新理念、新技术、新业态提升传统服务业，培育发展电子商务、现代商贸、现代物流、现代金融等现代服务业，加快服务业向专业化和价值链高端延伸，打造温州南部时尚智造集聚区。</w:t>
      </w:r>
    </w:p>
    <w:p>
      <w:pPr>
        <w:pageBreakBefore w:val="0"/>
        <w:widowControl/>
        <w:kinsoku/>
        <w:wordWrap/>
        <w:overflowPunct/>
        <w:topLinePunct w:val="0"/>
        <w:autoSpaceDE/>
        <w:autoSpaceDN/>
        <w:bidi w:val="0"/>
        <w:spacing w:line="560" w:lineRule="exact"/>
        <w:ind w:firstLine="418" w:firstLineChars="13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color w:val="auto"/>
          <w:sz w:val="32"/>
          <w:szCs w:val="32"/>
        </w:rPr>
        <w:t>——大花园城镇化下的美丽乡村机遇。</w:t>
      </w:r>
      <w:r>
        <w:rPr>
          <w:rFonts w:hint="default" w:ascii="Times New Roman" w:hAnsi="Times New Roman" w:eastAsia="仿宋_GB2312" w:cs="Times New Roman"/>
          <w:color w:val="auto"/>
          <w:kern w:val="0"/>
          <w:sz w:val="32"/>
          <w:szCs w:val="32"/>
        </w:rPr>
        <w:t>“十四五”期间，我县将继续贯彻落实“两山”理论，突出文化引领作用，挖掘利用红色文化、名人文化、民俗文化等文化资源，扎实推进共同富裕，加快打造人民幸福的美好家园。为民族地区进一步挖掘生态资源多元复合价值优势，促进各类资源要素向民族乡村集聚，加速拓展“两山”转化通道，实现高质量绿色崛起，提供有利战略契机。</w:t>
      </w:r>
    </w:p>
    <w:p>
      <w:pPr>
        <w:widowControl/>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br w:type="page"/>
      </w:r>
    </w:p>
    <w:p>
      <w:pPr>
        <w:pStyle w:val="2"/>
        <w:numPr>
          <w:ilvl w:val="0"/>
          <w:numId w:val="1"/>
        </w:numPr>
        <w:spacing w:beforeLines="50" w:afterLines="50"/>
        <w:jc w:val="center"/>
        <w:rPr>
          <w:rFonts w:hint="default" w:ascii="Times New Roman" w:hAnsi="Times New Roman" w:eastAsia="方正小标宋简体" w:cs="Times New Roman"/>
          <w:color w:val="auto"/>
          <w:sz w:val="36"/>
          <w:szCs w:val="36"/>
        </w:rPr>
      </w:pPr>
      <w:r>
        <w:rPr>
          <w:rFonts w:hint="default" w:ascii="Times New Roman" w:hAnsi="Times New Roman" w:eastAsia="黑体" w:cs="Times New Roman"/>
          <w:color w:val="auto"/>
          <w:sz w:val="36"/>
          <w:szCs w:val="36"/>
        </w:rPr>
        <w:t xml:space="preserve"> </w:t>
      </w:r>
      <w:bookmarkStart w:id="8" w:name="_Toc71629967"/>
      <w:r>
        <w:rPr>
          <w:rFonts w:hint="default" w:ascii="Times New Roman" w:hAnsi="Times New Roman" w:eastAsia="方正小标宋简体" w:cs="Times New Roman"/>
          <w:b w:val="0"/>
          <w:bCs/>
          <w:color w:val="auto"/>
          <w:sz w:val="36"/>
          <w:szCs w:val="36"/>
        </w:rPr>
        <w:t>总体思路</w:t>
      </w:r>
      <w:bookmarkEnd w:id="8"/>
    </w:p>
    <w:p>
      <w:pPr>
        <w:pStyle w:val="3"/>
        <w:keepNext/>
        <w:keepLines/>
        <w:pageBreakBefore w:val="0"/>
        <w:widowControl w:val="0"/>
        <w:numPr>
          <w:ilvl w:val="1"/>
          <w:numId w:val="1"/>
        </w:numPr>
        <w:kinsoku/>
        <w:wordWrap/>
        <w:overflowPunct/>
        <w:topLinePunct w:val="0"/>
        <w:autoSpaceDE/>
        <w:autoSpaceDN/>
        <w:bidi w:val="0"/>
        <w:adjustRightInd/>
        <w:snapToGrid/>
        <w:spacing w:before="0" w:after="0" w:line="560" w:lineRule="exact"/>
        <w:ind w:left="567" w:firstLine="0" w:firstLineChars="0"/>
        <w:textAlignment w:val="auto"/>
        <w:rPr>
          <w:rFonts w:hint="default" w:ascii="Times New Roman" w:hAnsi="Times New Roman" w:cs="Times New Roman"/>
          <w:b w:val="0"/>
          <w:bCs/>
          <w:color w:val="auto"/>
        </w:rPr>
      </w:pPr>
      <w:bookmarkStart w:id="9" w:name="_Toc304792328"/>
      <w:bookmarkStart w:id="10" w:name="_Toc50031316"/>
      <w:bookmarkStart w:id="11" w:name="_Toc451846509"/>
      <w:bookmarkStart w:id="12" w:name="_Toc71629968"/>
      <w:r>
        <w:rPr>
          <w:rFonts w:hint="default" w:ascii="Times New Roman" w:hAnsi="Times New Roman" w:cs="Times New Roman"/>
          <w:b w:val="0"/>
          <w:bCs/>
          <w:color w:val="auto"/>
        </w:rPr>
        <w:t>指导思想</w:t>
      </w:r>
      <w:bookmarkEnd w:id="9"/>
      <w:bookmarkEnd w:id="10"/>
      <w:bookmarkEnd w:id="11"/>
      <w:bookmarkEnd w:id="12"/>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高举习近平新时代中国特色社会主义</w:t>
      </w:r>
      <w:r>
        <w:rPr>
          <w:rFonts w:hint="eastAsia" w:eastAsia="仿宋_GB2312" w:cs="Times New Roman"/>
          <w:color w:val="auto"/>
          <w:sz w:val="32"/>
          <w:szCs w:val="32"/>
          <w:lang w:eastAsia="zh-CN"/>
        </w:rPr>
        <w:t>思想</w:t>
      </w:r>
      <w:r>
        <w:rPr>
          <w:rFonts w:hint="default" w:ascii="Times New Roman" w:hAnsi="Times New Roman" w:eastAsia="仿宋_GB2312" w:cs="Times New Roman"/>
          <w:color w:val="auto"/>
          <w:sz w:val="32"/>
          <w:szCs w:val="32"/>
        </w:rPr>
        <w:t>伟大旗帜，深入贯彻党的十九大及历次中央全会精神，准确把握新发展阶段，全面贯彻新发展理念，积极融入新发展格局，深入实施“八八战略”，全面贯彻党的民族理论和民族政策，始终把少数民族和民族地区加快发展摆在更加突出的战略位置，牢牢把握铸牢中华民族共同体意识主线，以争创全国民族团结进步示范县为契机，深入持久开展民族团结进步创建，构筑中华民族共有精神家园，扎实推动共同富裕，为平阳加快建设“三区两中心”，建成温州大都市区副中心，开启全面建设社会主义现代化</w:t>
      </w:r>
      <w:r>
        <w:rPr>
          <w:rFonts w:hint="eastAsia" w:eastAsia="仿宋_GB2312" w:cs="Times New Roman"/>
          <w:color w:val="auto"/>
          <w:sz w:val="32"/>
          <w:szCs w:val="32"/>
          <w:lang w:eastAsia="zh-CN"/>
        </w:rPr>
        <w:t>国家</w:t>
      </w:r>
      <w:r>
        <w:rPr>
          <w:rFonts w:hint="default" w:ascii="Times New Roman" w:hAnsi="Times New Roman" w:eastAsia="仿宋_GB2312" w:cs="Times New Roman"/>
          <w:color w:val="auto"/>
          <w:sz w:val="32"/>
          <w:szCs w:val="32"/>
        </w:rPr>
        <w:t>新征程贡献民族力量。</w:t>
      </w:r>
    </w:p>
    <w:p>
      <w:pPr>
        <w:pStyle w:val="3"/>
        <w:keepNext/>
        <w:keepLines/>
        <w:pageBreakBefore w:val="0"/>
        <w:widowControl w:val="0"/>
        <w:numPr>
          <w:ilvl w:val="1"/>
          <w:numId w:val="1"/>
        </w:numPr>
        <w:kinsoku/>
        <w:wordWrap/>
        <w:overflowPunct/>
        <w:topLinePunct w:val="0"/>
        <w:autoSpaceDE/>
        <w:autoSpaceDN/>
        <w:bidi w:val="0"/>
        <w:adjustRightInd/>
        <w:snapToGrid/>
        <w:spacing w:before="0" w:after="0" w:line="560" w:lineRule="exact"/>
        <w:ind w:left="567" w:firstLine="0" w:firstLineChars="0"/>
        <w:textAlignment w:val="auto"/>
        <w:rPr>
          <w:rFonts w:hint="default" w:ascii="Times New Roman" w:hAnsi="Times New Roman" w:cs="Times New Roman"/>
          <w:b w:val="0"/>
          <w:bCs/>
          <w:color w:val="auto"/>
        </w:rPr>
      </w:pPr>
      <w:bookmarkStart w:id="13" w:name="_Toc50031317"/>
      <w:bookmarkStart w:id="14" w:name="_Toc71629969"/>
      <w:r>
        <w:rPr>
          <w:rFonts w:hint="default" w:ascii="Times New Roman" w:hAnsi="Times New Roman" w:cs="Times New Roman"/>
          <w:b w:val="0"/>
          <w:bCs/>
          <w:color w:val="auto"/>
        </w:rPr>
        <w:t>坚持原则</w:t>
      </w:r>
      <w:bookmarkEnd w:id="13"/>
      <w:bookmarkEnd w:id="14"/>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val="0"/>
          <w:color w:val="auto"/>
          <w:sz w:val="32"/>
          <w:szCs w:val="32"/>
        </w:rPr>
        <w:t>坚持特色发展。</w:t>
      </w:r>
      <w:r>
        <w:rPr>
          <w:rFonts w:hint="default" w:ascii="Times New Roman" w:hAnsi="Times New Roman" w:eastAsia="仿宋_GB2312" w:cs="Times New Roman"/>
          <w:color w:val="auto"/>
          <w:sz w:val="32"/>
          <w:szCs w:val="32"/>
        </w:rPr>
        <w:t>充分发挥平阳县少数民族及民族地区特色资源优势、特色文化优势，形成特色休闲旅游业。借力畲族传统文化，加快特色旅游文化产业园建设，打造一批畲乡特色生态品牌。推进民族文化有形化、文化载体项目化、文化成果精品化。</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val="0"/>
          <w:color w:val="auto"/>
          <w:sz w:val="32"/>
          <w:szCs w:val="32"/>
        </w:rPr>
        <w:t>坚持均衡发展。</w:t>
      </w:r>
      <w:r>
        <w:rPr>
          <w:rFonts w:hint="default" w:ascii="Times New Roman" w:hAnsi="Times New Roman" w:eastAsia="仿宋_GB2312" w:cs="Times New Roman"/>
          <w:color w:val="auto"/>
          <w:sz w:val="32"/>
          <w:szCs w:val="32"/>
        </w:rPr>
        <w:t>大力改善少数民族和民族地区基础设施条件和教育、医疗卫生、文化体育、社会保障等公共服务设施条件，积极推动城镇基础设施和公共服务向少数民族集聚地区延伸，实现基础设施共享和公共服务普惠。</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val="0"/>
          <w:color w:val="auto"/>
          <w:sz w:val="32"/>
          <w:szCs w:val="32"/>
        </w:rPr>
        <w:t>坚持借力发展。</w:t>
      </w:r>
      <w:r>
        <w:rPr>
          <w:rFonts w:hint="default" w:ascii="Times New Roman" w:hAnsi="Times New Roman" w:eastAsia="仿宋_GB2312" w:cs="Times New Roman"/>
          <w:color w:val="auto"/>
          <w:sz w:val="32"/>
          <w:szCs w:val="32"/>
        </w:rPr>
        <w:t>发挥少数民族和民族地区的政策优势，拓宽借力发展渠道，努力在更大范围、更宽领域、更深层次上整合资源，破解要素瓶颈制约，努力形成少数民族和民族地区内源式发展和外源式发展的良性互动格局，促进各民族共同繁荣。</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val="0"/>
          <w:color w:val="auto"/>
          <w:sz w:val="32"/>
          <w:szCs w:val="32"/>
        </w:rPr>
        <w:t>坚持和谐发展。</w:t>
      </w:r>
      <w:r>
        <w:rPr>
          <w:rFonts w:hint="default" w:ascii="Times New Roman" w:hAnsi="Times New Roman" w:eastAsia="仿宋_GB2312" w:cs="Times New Roman"/>
          <w:color w:val="auto"/>
          <w:sz w:val="32"/>
          <w:szCs w:val="32"/>
        </w:rPr>
        <w:t>注重社会公平正义，强化社会管理。不断巩固发展平等、团结、互助、和谐的社会主义民族关系，促进全县各族人民共同团结奋斗、共同繁荣发展。重视民族地区生态环境保护与民族特色文化保护，发展循环经济，构建人与自然和谐共处的发展环境。</w:t>
      </w:r>
    </w:p>
    <w:p>
      <w:pPr>
        <w:pStyle w:val="3"/>
        <w:keepNext/>
        <w:keepLines/>
        <w:pageBreakBefore w:val="0"/>
        <w:widowControl w:val="0"/>
        <w:numPr>
          <w:ilvl w:val="1"/>
          <w:numId w:val="1"/>
        </w:numPr>
        <w:kinsoku/>
        <w:wordWrap/>
        <w:overflowPunct/>
        <w:topLinePunct w:val="0"/>
        <w:autoSpaceDE/>
        <w:autoSpaceDN/>
        <w:bidi w:val="0"/>
        <w:adjustRightInd/>
        <w:snapToGrid/>
        <w:spacing w:before="0" w:after="0" w:line="560" w:lineRule="exact"/>
        <w:ind w:left="567" w:firstLine="0" w:firstLineChars="0"/>
        <w:textAlignment w:val="auto"/>
        <w:rPr>
          <w:rFonts w:hint="default" w:ascii="Times New Roman" w:hAnsi="Times New Roman" w:cs="Times New Roman"/>
          <w:b w:val="0"/>
          <w:bCs/>
          <w:color w:val="auto"/>
        </w:rPr>
      </w:pPr>
      <w:bookmarkStart w:id="15" w:name="_Toc451846511"/>
      <w:bookmarkStart w:id="16" w:name="_Toc71629970"/>
      <w:bookmarkStart w:id="17" w:name="_Toc50031318"/>
      <w:r>
        <w:rPr>
          <w:rFonts w:hint="default" w:ascii="Times New Roman" w:hAnsi="Times New Roman" w:cs="Times New Roman"/>
          <w:b w:val="0"/>
          <w:bCs/>
          <w:color w:val="auto"/>
        </w:rPr>
        <w:t>发展目标</w:t>
      </w:r>
      <w:bookmarkEnd w:id="15"/>
      <w:bookmarkEnd w:id="16"/>
      <w:bookmarkEnd w:id="17"/>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sz w:val="32"/>
          <w:szCs w:val="32"/>
        </w:rPr>
      </w:pPr>
      <w:r>
        <w:rPr>
          <w:rFonts w:hint="default" w:ascii="Times New Roman" w:hAnsi="Times New Roman" w:eastAsia="楷体_GB2312" w:cs="Times New Roman"/>
          <w:b w:val="0"/>
          <w:bCs/>
          <w:color w:val="auto"/>
          <w:sz w:val="32"/>
          <w:szCs w:val="32"/>
        </w:rPr>
        <w:t>综合实力持续增强。</w:t>
      </w:r>
      <w:r>
        <w:rPr>
          <w:rFonts w:hint="default" w:ascii="Times New Roman" w:hAnsi="Times New Roman" w:eastAsia="仿宋_GB2312" w:cs="Times New Roman"/>
          <w:bCs/>
          <w:color w:val="auto"/>
          <w:sz w:val="32"/>
          <w:szCs w:val="32"/>
        </w:rPr>
        <w:t>少数民族地区经济加快发展，少数民族农户家庭收入普遍较快增加，增幅高于全县平均水平。到2025年，少数民族农村居民人均可支配收入达到42000元，年均增长9%；民族乡</w:t>
      </w:r>
      <w:r>
        <w:rPr>
          <w:rFonts w:hint="default" w:ascii="Times New Roman" w:hAnsi="Times New Roman" w:eastAsia="仿宋_GB2312" w:cs="Times New Roman"/>
          <w:color w:val="auto"/>
          <w:sz w:val="32"/>
          <w:szCs w:val="32"/>
        </w:rPr>
        <w:t>镇工农业总产值达到**亿元。</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sz w:val="32"/>
          <w:szCs w:val="32"/>
        </w:rPr>
        <w:t>产业发展特色显著。</w:t>
      </w:r>
      <w:bookmarkStart w:id="18" w:name="_Hlk53204876"/>
      <w:r>
        <w:rPr>
          <w:rFonts w:hint="default" w:ascii="Times New Roman" w:hAnsi="Times New Roman" w:eastAsia="仿宋_GB2312" w:cs="Times New Roman"/>
          <w:color w:val="auto"/>
          <w:sz w:val="32"/>
          <w:szCs w:val="32"/>
        </w:rPr>
        <w:t>乡村旅游、乡村电商、特色农产品、特色加工等新业态、新产品创新突破，一二三产业进一步融合发展。</w:t>
      </w:r>
      <w:bookmarkEnd w:id="18"/>
      <w:r>
        <w:rPr>
          <w:rFonts w:hint="default" w:ascii="Times New Roman" w:hAnsi="Times New Roman" w:eastAsia="仿宋_GB2312" w:cs="Times New Roman"/>
          <w:color w:val="auto"/>
          <w:sz w:val="32"/>
          <w:szCs w:val="32"/>
        </w:rPr>
        <w:t>到2025年，全县民族乡村共接待游客**万人次以上，旅游产业收入达到超过**亿元，少数民族地区省级电子商务专业村达到3个以上。</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sz w:val="32"/>
          <w:szCs w:val="32"/>
        </w:rPr>
        <w:t>社会事业稳步提升。</w:t>
      </w:r>
      <w:r>
        <w:rPr>
          <w:rFonts w:hint="default" w:ascii="Times New Roman" w:hAnsi="Times New Roman" w:eastAsia="仿宋_GB2312" w:cs="Times New Roman"/>
          <w:color w:val="auto"/>
          <w:sz w:val="32"/>
          <w:szCs w:val="32"/>
        </w:rPr>
        <w:t>基本公共服务均等化水平显著提升，资源配置更加合理，城乡差距和民族村之间差距明显缩小，主要领域指标达到全市平均水平。社会保障实现全覆盖，基本医疗卫生服务人人享有，人民群众整体素质和社会文明程度全面提升。</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sz w:val="32"/>
          <w:szCs w:val="32"/>
        </w:rPr>
        <w:t>民族文化繁荣发展。</w:t>
      </w:r>
      <w:r>
        <w:rPr>
          <w:rFonts w:hint="default" w:ascii="Times New Roman" w:hAnsi="Times New Roman" w:eastAsia="仿宋_GB2312" w:cs="Times New Roman"/>
          <w:color w:val="auto"/>
          <w:sz w:val="32"/>
          <w:szCs w:val="32"/>
        </w:rPr>
        <w:t>少数民族优秀传统文化得到传承弘扬，文化事业加快发展，公共文化服务体系进一步完善，文化基础设施更加完备，文化产品日益丰富，文化产业持续壮大，特色文化活动广泛开展，各民族共有精神家园建设成效显著。至2025年，民族村文化礼堂覆盖率达到100%，建成一批民族文化传承基地，创建一批畲乡特色文化品牌，打造一批民族民俗文化展示和游览基地。打造集民族文化体验、民族历史展现、民族文物展示、民族艺术培训以及旅游集散等功能为一体的民族风俗体验展览馆。</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sz w:val="32"/>
          <w:szCs w:val="32"/>
        </w:rPr>
        <w:t>宜居环境明显改善。</w:t>
      </w:r>
      <w:r>
        <w:rPr>
          <w:rFonts w:hint="default" w:ascii="Times New Roman" w:hAnsi="Times New Roman" w:eastAsia="仿宋_GB2312" w:cs="Times New Roman"/>
          <w:color w:val="auto"/>
          <w:sz w:val="32"/>
          <w:szCs w:val="32"/>
        </w:rPr>
        <w:t>民族乡村生产、生活和生态空间规划布局不断优化，偏远散居民族自然村数量显著减少，乡村人居环境显著提升。生态保护补偿机制逐步建立健全，资源循环利用体系初步建立，环境治理能力不断增强，资源节约型、环境友好型社会建设稳步推进。</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sz w:val="32"/>
          <w:szCs w:val="32"/>
        </w:rPr>
        <w:t>民族团结更加巩固。</w:t>
      </w:r>
      <w:r>
        <w:rPr>
          <w:rFonts w:hint="default" w:ascii="Times New Roman" w:hAnsi="Times New Roman" w:eastAsia="仿宋_GB2312" w:cs="Times New Roman"/>
          <w:color w:val="auto"/>
          <w:sz w:val="32"/>
          <w:szCs w:val="32"/>
        </w:rPr>
        <w:t>争创全国民族团结进步示范县，民族理论政策创新发展，民族事务基层治理现代化水平显著提高，民族团结进步宣传教育和创建活动不断深入，社会主义民族关系得到进一步巩固。</w:t>
      </w:r>
    </w:p>
    <w:p>
      <w:pPr>
        <w:jc w:val="center"/>
        <w:rPr>
          <w:rFonts w:hint="default" w:ascii="Times New Roman" w:hAnsi="Times New Roman" w:eastAsia="方正小标宋简体" w:cs="Times New Roman"/>
          <w:b w:val="0"/>
          <w:bCs w:val="0"/>
          <w:color w:val="auto"/>
          <w:sz w:val="28"/>
          <w:szCs w:val="28"/>
        </w:rPr>
      </w:pPr>
      <w:r>
        <w:rPr>
          <w:rFonts w:hint="default" w:ascii="Times New Roman" w:hAnsi="Times New Roman" w:eastAsia="方正小标宋简体" w:cs="Times New Roman"/>
          <w:b w:val="0"/>
          <w:bCs w:val="0"/>
          <w:color w:val="auto"/>
          <w:sz w:val="28"/>
          <w:szCs w:val="28"/>
        </w:rPr>
        <w:t>表2-1  “十四五”时期平阳县少数民族事业主要指标</w:t>
      </w:r>
    </w:p>
    <w:tbl>
      <w:tblPr>
        <w:tblStyle w:val="15"/>
        <w:tblW w:w="9640" w:type="dxa"/>
        <w:jc w:val="center"/>
        <w:tblLayout w:type="fixed"/>
        <w:tblCellMar>
          <w:top w:w="15" w:type="dxa"/>
          <w:left w:w="15" w:type="dxa"/>
          <w:bottom w:w="15" w:type="dxa"/>
          <w:right w:w="15" w:type="dxa"/>
        </w:tblCellMar>
      </w:tblPr>
      <w:tblGrid>
        <w:gridCol w:w="1276"/>
        <w:gridCol w:w="1560"/>
        <w:gridCol w:w="3726"/>
        <w:gridCol w:w="856"/>
        <w:gridCol w:w="1088"/>
        <w:gridCol w:w="1134"/>
      </w:tblGrid>
      <w:tr>
        <w:tblPrEx>
          <w:tblCellMar>
            <w:top w:w="15" w:type="dxa"/>
            <w:left w:w="15" w:type="dxa"/>
            <w:bottom w:w="15" w:type="dxa"/>
            <w:right w:w="15" w:type="dxa"/>
          </w:tblCellMar>
        </w:tblPrEx>
        <w:trPr>
          <w:trHeight w:val="345" w:hRule="atLeast"/>
          <w:jc w:val="center"/>
        </w:trPr>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黑体" w:cs="Times New Roman"/>
                <w:b w:val="0"/>
                <w:bCs w:val="0"/>
                <w:color w:val="auto"/>
                <w:sz w:val="24"/>
              </w:rPr>
            </w:pPr>
            <w:r>
              <w:rPr>
                <w:rFonts w:hint="default" w:ascii="Times New Roman" w:hAnsi="Times New Roman" w:eastAsia="黑体" w:cs="Times New Roman"/>
                <w:b w:val="0"/>
                <w:bCs w:val="0"/>
                <w:color w:val="auto"/>
                <w:kern w:val="0"/>
                <w:sz w:val="24"/>
              </w:rPr>
              <w:t>一级指标</w:t>
            </w:r>
          </w:p>
        </w:tc>
        <w:tc>
          <w:tcPr>
            <w:tcW w:w="5286"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黑体" w:cs="Times New Roman"/>
                <w:b w:val="0"/>
                <w:bCs w:val="0"/>
                <w:color w:val="auto"/>
                <w:sz w:val="24"/>
              </w:rPr>
            </w:pPr>
            <w:r>
              <w:rPr>
                <w:rFonts w:hint="default" w:ascii="Times New Roman" w:hAnsi="Times New Roman" w:eastAsia="黑体" w:cs="Times New Roman"/>
                <w:b w:val="0"/>
                <w:bCs w:val="0"/>
                <w:color w:val="auto"/>
                <w:kern w:val="0"/>
                <w:sz w:val="24"/>
              </w:rPr>
              <w:t>二级指标</w:t>
            </w:r>
          </w:p>
        </w:tc>
        <w:tc>
          <w:tcPr>
            <w:tcW w:w="85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黑体" w:cs="Times New Roman"/>
                <w:b w:val="0"/>
                <w:bCs w:val="0"/>
                <w:color w:val="auto"/>
                <w:sz w:val="24"/>
              </w:rPr>
            </w:pPr>
            <w:r>
              <w:rPr>
                <w:rFonts w:hint="default" w:ascii="Times New Roman" w:hAnsi="Times New Roman" w:eastAsia="黑体" w:cs="Times New Roman"/>
                <w:b w:val="0"/>
                <w:bCs w:val="0"/>
                <w:color w:val="auto"/>
                <w:kern w:val="0"/>
                <w:sz w:val="24"/>
              </w:rPr>
              <w:t>计量单位</w:t>
            </w:r>
          </w:p>
        </w:tc>
        <w:tc>
          <w:tcPr>
            <w:tcW w:w="108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黑体" w:cs="Times New Roman"/>
                <w:b w:val="0"/>
                <w:bCs w:val="0"/>
                <w:color w:val="auto"/>
                <w:sz w:val="24"/>
              </w:rPr>
            </w:pPr>
            <w:r>
              <w:rPr>
                <w:rFonts w:hint="default" w:ascii="Times New Roman" w:hAnsi="Times New Roman" w:eastAsia="黑体" w:cs="Times New Roman"/>
                <w:b w:val="0"/>
                <w:bCs w:val="0"/>
                <w:color w:val="auto"/>
                <w:kern w:val="0"/>
                <w:sz w:val="24"/>
              </w:rPr>
              <w:t>2020 年实绩</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黑体" w:cs="Times New Roman"/>
                <w:b w:val="0"/>
                <w:bCs w:val="0"/>
                <w:color w:val="auto"/>
                <w:sz w:val="24"/>
              </w:rPr>
            </w:pPr>
            <w:r>
              <w:rPr>
                <w:rFonts w:hint="default" w:ascii="Times New Roman" w:hAnsi="Times New Roman" w:eastAsia="黑体" w:cs="Times New Roman"/>
                <w:b w:val="0"/>
                <w:bCs w:val="0"/>
                <w:color w:val="auto"/>
                <w:kern w:val="0"/>
                <w:sz w:val="24"/>
              </w:rPr>
              <w:t>2025 年目标</w:t>
            </w:r>
          </w:p>
        </w:tc>
      </w:tr>
      <w:tr>
        <w:tblPrEx>
          <w:tblCellMar>
            <w:top w:w="15" w:type="dxa"/>
            <w:left w:w="15" w:type="dxa"/>
            <w:bottom w:w="15" w:type="dxa"/>
            <w:right w:w="15" w:type="dxa"/>
          </w:tblCellMar>
        </w:tblPrEx>
        <w:trPr>
          <w:trHeight w:val="345" w:hRule="atLeast"/>
          <w:jc w:val="center"/>
        </w:trPr>
        <w:tc>
          <w:tcPr>
            <w:tcW w:w="1276"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经济发展和城乡融合</w:t>
            </w:r>
          </w:p>
        </w:tc>
        <w:tc>
          <w:tcPr>
            <w:tcW w:w="5286"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少数民族农村居民人均可支配收入</w:t>
            </w:r>
          </w:p>
        </w:tc>
        <w:tc>
          <w:tcPr>
            <w:tcW w:w="85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元</w:t>
            </w:r>
          </w:p>
        </w:tc>
        <w:tc>
          <w:tcPr>
            <w:tcW w:w="108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default" w:ascii="Times New Roman" w:hAnsi="Times New Roman" w:eastAsia="仿宋_GB2312" w:cs="Times New Roman"/>
                <w:color w:val="auto"/>
                <w:sz w:val="24"/>
              </w:rPr>
            </w:pP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42000</w:t>
            </w:r>
          </w:p>
        </w:tc>
      </w:tr>
      <w:tr>
        <w:tblPrEx>
          <w:tblCellMar>
            <w:top w:w="15" w:type="dxa"/>
            <w:left w:w="15" w:type="dxa"/>
            <w:bottom w:w="15" w:type="dxa"/>
            <w:right w:w="15" w:type="dxa"/>
          </w:tblCellMar>
        </w:tblPrEx>
        <w:trPr>
          <w:trHeight w:val="455" w:hRule="atLeast"/>
          <w:jc w:val="center"/>
        </w:trPr>
        <w:tc>
          <w:tcPr>
            <w:tcW w:w="127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400" w:lineRule="exact"/>
              <w:jc w:val="left"/>
              <w:rPr>
                <w:rFonts w:hint="default" w:ascii="Times New Roman" w:hAnsi="Times New Roman" w:eastAsia="仿宋_GB2312" w:cs="Times New Roman"/>
                <w:color w:val="auto"/>
                <w:sz w:val="24"/>
              </w:rPr>
            </w:pPr>
          </w:p>
        </w:tc>
        <w:tc>
          <w:tcPr>
            <w:tcW w:w="5286"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center"/>
              <w:rPr>
                <w:rFonts w:hint="default" w:ascii="Times New Roman" w:hAnsi="Times New Roman" w:eastAsia="仿宋_GB2312" w:cs="Times New Roman"/>
                <w:color w:val="auto"/>
                <w:sz w:val="24"/>
              </w:rPr>
            </w:pPr>
            <w:bookmarkStart w:id="19" w:name="_Hlk67646545"/>
            <w:r>
              <w:rPr>
                <w:rFonts w:hint="default" w:ascii="Times New Roman" w:hAnsi="Times New Roman" w:eastAsia="仿宋_GB2312" w:cs="Times New Roman"/>
                <w:color w:val="auto"/>
                <w:kern w:val="0"/>
                <w:sz w:val="24"/>
              </w:rPr>
              <w:t>民族乡镇工农业总产值年均增长率</w:t>
            </w:r>
            <w:bookmarkEnd w:id="19"/>
          </w:p>
        </w:tc>
        <w:tc>
          <w:tcPr>
            <w:tcW w:w="85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w:t>
            </w:r>
          </w:p>
        </w:tc>
        <w:tc>
          <w:tcPr>
            <w:tcW w:w="108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5%以上</w:t>
            </w:r>
          </w:p>
        </w:tc>
      </w:tr>
      <w:tr>
        <w:tblPrEx>
          <w:tblCellMar>
            <w:top w:w="15" w:type="dxa"/>
            <w:left w:w="15" w:type="dxa"/>
            <w:bottom w:w="15" w:type="dxa"/>
            <w:right w:w="15" w:type="dxa"/>
          </w:tblCellMar>
        </w:tblPrEx>
        <w:trPr>
          <w:trHeight w:val="345" w:hRule="atLeast"/>
          <w:jc w:val="center"/>
        </w:trPr>
        <w:tc>
          <w:tcPr>
            <w:tcW w:w="127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400" w:lineRule="exact"/>
              <w:jc w:val="left"/>
              <w:rPr>
                <w:rFonts w:hint="default" w:ascii="Times New Roman" w:hAnsi="Times New Roman" w:eastAsia="仿宋_GB2312" w:cs="Times New Roman"/>
                <w:color w:val="auto"/>
                <w:sz w:val="24"/>
              </w:rPr>
            </w:pPr>
          </w:p>
        </w:tc>
        <w:tc>
          <w:tcPr>
            <w:tcW w:w="5286"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民族乡镇三产服务业产值年均增长率</w:t>
            </w:r>
          </w:p>
        </w:tc>
        <w:tc>
          <w:tcPr>
            <w:tcW w:w="85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w:t>
            </w:r>
          </w:p>
        </w:tc>
        <w:tc>
          <w:tcPr>
            <w:tcW w:w="108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bookmarkStart w:id="20" w:name="_Hlk67646584"/>
            <w:r>
              <w:rPr>
                <w:rFonts w:hint="default" w:ascii="Times New Roman" w:hAnsi="Times New Roman" w:eastAsia="仿宋_GB2312" w:cs="Times New Roman"/>
                <w:color w:val="auto"/>
                <w:kern w:val="0"/>
                <w:sz w:val="24"/>
              </w:rPr>
              <w:t>7%以上</w:t>
            </w:r>
            <w:bookmarkEnd w:id="20"/>
          </w:p>
        </w:tc>
      </w:tr>
      <w:tr>
        <w:tblPrEx>
          <w:tblCellMar>
            <w:top w:w="15" w:type="dxa"/>
            <w:left w:w="15" w:type="dxa"/>
            <w:bottom w:w="15" w:type="dxa"/>
            <w:right w:w="15" w:type="dxa"/>
          </w:tblCellMar>
        </w:tblPrEx>
        <w:trPr>
          <w:trHeight w:val="345" w:hRule="atLeast"/>
          <w:jc w:val="center"/>
        </w:trPr>
        <w:tc>
          <w:tcPr>
            <w:tcW w:w="127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400" w:lineRule="exact"/>
              <w:jc w:val="left"/>
              <w:rPr>
                <w:rFonts w:hint="default" w:ascii="Times New Roman" w:hAnsi="Times New Roman" w:eastAsia="仿宋_GB2312" w:cs="Times New Roman"/>
                <w:color w:val="auto"/>
                <w:sz w:val="24"/>
              </w:rPr>
            </w:pPr>
          </w:p>
        </w:tc>
        <w:tc>
          <w:tcPr>
            <w:tcW w:w="5286"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民族乡镇财政收入</w:t>
            </w:r>
          </w:p>
        </w:tc>
        <w:tc>
          <w:tcPr>
            <w:tcW w:w="85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亿元</w:t>
            </w:r>
          </w:p>
        </w:tc>
        <w:tc>
          <w:tcPr>
            <w:tcW w:w="108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r>
      <w:tr>
        <w:tblPrEx>
          <w:tblCellMar>
            <w:top w:w="15" w:type="dxa"/>
            <w:left w:w="15" w:type="dxa"/>
            <w:bottom w:w="15" w:type="dxa"/>
            <w:right w:w="15" w:type="dxa"/>
          </w:tblCellMar>
        </w:tblPrEx>
        <w:trPr>
          <w:trHeight w:val="345" w:hRule="atLeast"/>
          <w:jc w:val="center"/>
        </w:trPr>
        <w:tc>
          <w:tcPr>
            <w:tcW w:w="127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400" w:lineRule="exact"/>
              <w:jc w:val="left"/>
              <w:rPr>
                <w:rFonts w:hint="default" w:ascii="Times New Roman" w:hAnsi="Times New Roman" w:eastAsia="仿宋_GB2312" w:cs="Times New Roman"/>
                <w:color w:val="auto"/>
                <w:sz w:val="24"/>
              </w:rPr>
            </w:pPr>
          </w:p>
        </w:tc>
        <w:tc>
          <w:tcPr>
            <w:tcW w:w="5286"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民族乡镇财政支出</w:t>
            </w:r>
          </w:p>
        </w:tc>
        <w:tc>
          <w:tcPr>
            <w:tcW w:w="85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亿元</w:t>
            </w:r>
          </w:p>
        </w:tc>
        <w:tc>
          <w:tcPr>
            <w:tcW w:w="108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3.5</w:t>
            </w:r>
          </w:p>
        </w:tc>
      </w:tr>
      <w:tr>
        <w:tblPrEx>
          <w:tblCellMar>
            <w:top w:w="15" w:type="dxa"/>
            <w:left w:w="15" w:type="dxa"/>
            <w:bottom w:w="15" w:type="dxa"/>
            <w:right w:w="15" w:type="dxa"/>
          </w:tblCellMar>
        </w:tblPrEx>
        <w:trPr>
          <w:trHeight w:val="345" w:hRule="atLeast"/>
          <w:jc w:val="center"/>
        </w:trPr>
        <w:tc>
          <w:tcPr>
            <w:tcW w:w="127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400" w:lineRule="exact"/>
              <w:jc w:val="left"/>
              <w:rPr>
                <w:rFonts w:hint="default" w:ascii="Times New Roman" w:hAnsi="Times New Roman" w:eastAsia="仿宋_GB2312" w:cs="Times New Roman"/>
                <w:color w:val="auto"/>
                <w:sz w:val="24"/>
              </w:rPr>
            </w:pPr>
          </w:p>
        </w:tc>
        <w:tc>
          <w:tcPr>
            <w:tcW w:w="5286"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年集体经营性收入50万元以上民族村占比</w:t>
            </w:r>
          </w:p>
        </w:tc>
        <w:tc>
          <w:tcPr>
            <w:tcW w:w="85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w:t>
            </w:r>
          </w:p>
        </w:tc>
        <w:tc>
          <w:tcPr>
            <w:tcW w:w="108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40</w:t>
            </w:r>
          </w:p>
        </w:tc>
      </w:tr>
      <w:tr>
        <w:tblPrEx>
          <w:tblCellMar>
            <w:top w:w="15" w:type="dxa"/>
            <w:left w:w="15" w:type="dxa"/>
            <w:bottom w:w="15" w:type="dxa"/>
            <w:right w:w="15" w:type="dxa"/>
          </w:tblCellMar>
        </w:tblPrEx>
        <w:trPr>
          <w:trHeight w:val="345" w:hRule="atLeast"/>
          <w:jc w:val="center"/>
        </w:trPr>
        <w:tc>
          <w:tcPr>
            <w:tcW w:w="1276"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美丽乡村</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建设</w:t>
            </w:r>
          </w:p>
        </w:tc>
        <w:tc>
          <w:tcPr>
            <w:tcW w:w="1560"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民族乡村振兴试点建设</w:t>
            </w:r>
          </w:p>
        </w:tc>
        <w:tc>
          <w:tcPr>
            <w:tcW w:w="37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列入国家民委民族乡村振兴试点</w:t>
            </w:r>
          </w:p>
        </w:tc>
        <w:tc>
          <w:tcPr>
            <w:tcW w:w="85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个</w:t>
            </w:r>
          </w:p>
        </w:tc>
        <w:tc>
          <w:tcPr>
            <w:tcW w:w="108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w:t>
            </w:r>
          </w:p>
        </w:tc>
      </w:tr>
      <w:tr>
        <w:tblPrEx>
          <w:tblCellMar>
            <w:top w:w="15" w:type="dxa"/>
            <w:left w:w="15" w:type="dxa"/>
            <w:bottom w:w="15" w:type="dxa"/>
            <w:right w:w="15" w:type="dxa"/>
          </w:tblCellMar>
        </w:tblPrEx>
        <w:trPr>
          <w:trHeight w:val="345" w:hRule="atLeast"/>
          <w:jc w:val="center"/>
        </w:trPr>
        <w:tc>
          <w:tcPr>
            <w:tcW w:w="127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400" w:lineRule="exact"/>
              <w:jc w:val="left"/>
              <w:rPr>
                <w:rFonts w:hint="default" w:ascii="Times New Roman" w:hAnsi="Times New Roman" w:eastAsia="仿宋_GB2312" w:cs="Times New Roman"/>
                <w:color w:val="auto"/>
                <w:sz w:val="24"/>
              </w:rPr>
            </w:pPr>
          </w:p>
        </w:tc>
        <w:tc>
          <w:tcPr>
            <w:tcW w:w="1560"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400" w:lineRule="exact"/>
              <w:jc w:val="left"/>
              <w:rPr>
                <w:rFonts w:hint="default" w:ascii="Times New Roman" w:hAnsi="Times New Roman" w:eastAsia="仿宋_GB2312" w:cs="Times New Roman"/>
                <w:color w:val="auto"/>
                <w:sz w:val="24"/>
              </w:rPr>
            </w:pPr>
          </w:p>
        </w:tc>
        <w:tc>
          <w:tcPr>
            <w:tcW w:w="37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列入省民族乡村振兴试点</w:t>
            </w:r>
          </w:p>
        </w:tc>
        <w:tc>
          <w:tcPr>
            <w:tcW w:w="85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个</w:t>
            </w:r>
          </w:p>
        </w:tc>
        <w:tc>
          <w:tcPr>
            <w:tcW w:w="108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w:t>
            </w:r>
          </w:p>
        </w:tc>
      </w:tr>
      <w:tr>
        <w:tblPrEx>
          <w:tblCellMar>
            <w:top w:w="15" w:type="dxa"/>
            <w:left w:w="15" w:type="dxa"/>
            <w:bottom w:w="15" w:type="dxa"/>
            <w:right w:w="15" w:type="dxa"/>
          </w:tblCellMar>
        </w:tblPrEx>
        <w:trPr>
          <w:trHeight w:val="345" w:hRule="atLeast"/>
          <w:jc w:val="center"/>
        </w:trPr>
        <w:tc>
          <w:tcPr>
            <w:tcW w:w="127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400" w:lineRule="exact"/>
              <w:jc w:val="left"/>
              <w:rPr>
                <w:rFonts w:hint="default" w:ascii="Times New Roman" w:hAnsi="Times New Roman" w:eastAsia="仿宋_GB2312" w:cs="Times New Roman"/>
                <w:color w:val="auto"/>
                <w:sz w:val="24"/>
              </w:rPr>
            </w:pPr>
          </w:p>
        </w:tc>
        <w:tc>
          <w:tcPr>
            <w:tcW w:w="1560"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中国民族和美乡村建设</w:t>
            </w:r>
          </w:p>
        </w:tc>
        <w:tc>
          <w:tcPr>
            <w:tcW w:w="37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开展民族和美乡村建设民族村</w:t>
            </w:r>
          </w:p>
        </w:tc>
        <w:tc>
          <w:tcPr>
            <w:tcW w:w="85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个</w:t>
            </w:r>
          </w:p>
        </w:tc>
        <w:tc>
          <w:tcPr>
            <w:tcW w:w="108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w:t>
            </w:r>
          </w:p>
        </w:tc>
      </w:tr>
      <w:tr>
        <w:tblPrEx>
          <w:tblCellMar>
            <w:top w:w="15" w:type="dxa"/>
            <w:left w:w="15" w:type="dxa"/>
            <w:bottom w:w="15" w:type="dxa"/>
            <w:right w:w="15" w:type="dxa"/>
          </w:tblCellMar>
        </w:tblPrEx>
        <w:trPr>
          <w:trHeight w:val="345" w:hRule="atLeast"/>
          <w:jc w:val="center"/>
        </w:trPr>
        <w:tc>
          <w:tcPr>
            <w:tcW w:w="127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400" w:lineRule="exact"/>
              <w:jc w:val="left"/>
              <w:rPr>
                <w:rFonts w:hint="default" w:ascii="Times New Roman" w:hAnsi="Times New Roman" w:eastAsia="仿宋_GB2312" w:cs="Times New Roman"/>
                <w:color w:val="auto"/>
                <w:sz w:val="24"/>
              </w:rPr>
            </w:pPr>
          </w:p>
        </w:tc>
        <w:tc>
          <w:tcPr>
            <w:tcW w:w="1560"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400" w:lineRule="exact"/>
              <w:jc w:val="left"/>
              <w:rPr>
                <w:rFonts w:hint="default" w:ascii="Times New Roman" w:hAnsi="Times New Roman" w:eastAsia="仿宋_GB2312" w:cs="Times New Roman"/>
                <w:color w:val="auto"/>
                <w:sz w:val="24"/>
              </w:rPr>
            </w:pPr>
          </w:p>
        </w:tc>
        <w:tc>
          <w:tcPr>
            <w:tcW w:w="37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挂牌命名的中国民族和美乡村</w:t>
            </w:r>
          </w:p>
        </w:tc>
        <w:tc>
          <w:tcPr>
            <w:tcW w:w="85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个</w:t>
            </w:r>
          </w:p>
        </w:tc>
        <w:tc>
          <w:tcPr>
            <w:tcW w:w="108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1以上</w:t>
            </w:r>
          </w:p>
        </w:tc>
      </w:tr>
      <w:tr>
        <w:tblPrEx>
          <w:tblCellMar>
            <w:top w:w="15" w:type="dxa"/>
            <w:left w:w="15" w:type="dxa"/>
            <w:bottom w:w="15" w:type="dxa"/>
            <w:right w:w="15" w:type="dxa"/>
          </w:tblCellMar>
        </w:tblPrEx>
        <w:trPr>
          <w:trHeight w:val="345" w:hRule="atLeast"/>
          <w:jc w:val="center"/>
        </w:trPr>
        <w:tc>
          <w:tcPr>
            <w:tcW w:w="127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400" w:lineRule="exact"/>
              <w:jc w:val="left"/>
              <w:rPr>
                <w:rFonts w:hint="default" w:ascii="Times New Roman" w:hAnsi="Times New Roman" w:eastAsia="仿宋_GB2312" w:cs="Times New Roman"/>
                <w:color w:val="auto"/>
                <w:sz w:val="24"/>
              </w:rPr>
            </w:pPr>
          </w:p>
        </w:tc>
        <w:tc>
          <w:tcPr>
            <w:tcW w:w="1560"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400" w:lineRule="exact"/>
              <w:jc w:val="left"/>
              <w:rPr>
                <w:rFonts w:hint="default" w:ascii="Times New Roman" w:hAnsi="Times New Roman" w:eastAsia="仿宋_GB2312" w:cs="Times New Roman"/>
                <w:color w:val="auto"/>
                <w:sz w:val="24"/>
              </w:rPr>
            </w:pPr>
          </w:p>
        </w:tc>
        <w:tc>
          <w:tcPr>
            <w:tcW w:w="37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列入省级民族和美乡村培育名录</w:t>
            </w:r>
          </w:p>
        </w:tc>
        <w:tc>
          <w:tcPr>
            <w:tcW w:w="85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个</w:t>
            </w:r>
          </w:p>
        </w:tc>
        <w:tc>
          <w:tcPr>
            <w:tcW w:w="108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2以上</w:t>
            </w:r>
          </w:p>
        </w:tc>
      </w:tr>
      <w:tr>
        <w:tblPrEx>
          <w:tblCellMar>
            <w:top w:w="15" w:type="dxa"/>
            <w:left w:w="15" w:type="dxa"/>
            <w:bottom w:w="15" w:type="dxa"/>
            <w:right w:w="15" w:type="dxa"/>
          </w:tblCellMar>
        </w:tblPrEx>
        <w:trPr>
          <w:trHeight w:val="345" w:hRule="atLeast"/>
          <w:jc w:val="center"/>
        </w:trPr>
        <w:tc>
          <w:tcPr>
            <w:tcW w:w="127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400" w:lineRule="exact"/>
              <w:jc w:val="left"/>
              <w:rPr>
                <w:rFonts w:hint="default" w:ascii="Times New Roman" w:hAnsi="Times New Roman" w:eastAsia="仿宋_GB2312" w:cs="Times New Roman"/>
                <w:color w:val="auto"/>
                <w:sz w:val="24"/>
              </w:rPr>
            </w:pPr>
          </w:p>
        </w:tc>
        <w:tc>
          <w:tcPr>
            <w:tcW w:w="1560" w:type="dxa"/>
            <w:vMerge w:val="restart"/>
            <w:tcBorders>
              <w:top w:val="nil"/>
              <w:left w:val="nil"/>
              <w:right w:val="single" w:color="000000" w:sz="4" w:space="0"/>
            </w:tcBorders>
            <w:vAlign w:val="center"/>
          </w:tcPr>
          <w:p>
            <w:pPr>
              <w:keepNext w:val="0"/>
              <w:keepLines w:val="0"/>
              <w:pageBreakBefore w:val="0"/>
              <w:widowControl/>
              <w:kinsoku/>
              <w:wordWrap/>
              <w:overflowPunct/>
              <w:topLinePunct w:val="0"/>
              <w:autoSpaceDE/>
              <w:autoSpaceDN/>
              <w:bidi w:val="0"/>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少数民族特色村寨</w:t>
            </w:r>
          </w:p>
        </w:tc>
        <w:tc>
          <w:tcPr>
            <w:tcW w:w="37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中国少数民族特色村寨</w:t>
            </w:r>
          </w:p>
        </w:tc>
        <w:tc>
          <w:tcPr>
            <w:tcW w:w="85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个</w:t>
            </w:r>
          </w:p>
        </w:tc>
        <w:tc>
          <w:tcPr>
            <w:tcW w:w="108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6</w:t>
            </w:r>
          </w:p>
        </w:tc>
      </w:tr>
      <w:tr>
        <w:tblPrEx>
          <w:tblCellMar>
            <w:top w:w="15" w:type="dxa"/>
            <w:left w:w="15" w:type="dxa"/>
            <w:bottom w:w="15" w:type="dxa"/>
            <w:right w:w="15" w:type="dxa"/>
          </w:tblCellMar>
        </w:tblPrEx>
        <w:trPr>
          <w:trHeight w:val="345" w:hRule="atLeast"/>
          <w:jc w:val="center"/>
        </w:trPr>
        <w:tc>
          <w:tcPr>
            <w:tcW w:w="127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400" w:lineRule="exact"/>
              <w:jc w:val="left"/>
              <w:rPr>
                <w:rFonts w:hint="default" w:ascii="Times New Roman" w:hAnsi="Times New Roman" w:eastAsia="仿宋_GB2312" w:cs="Times New Roman"/>
                <w:color w:val="auto"/>
                <w:sz w:val="24"/>
              </w:rPr>
            </w:pPr>
          </w:p>
        </w:tc>
        <w:tc>
          <w:tcPr>
            <w:tcW w:w="1560" w:type="dxa"/>
            <w:vMerge w:val="continue"/>
            <w:tcBorders>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400" w:lineRule="exact"/>
              <w:jc w:val="left"/>
              <w:rPr>
                <w:rFonts w:hint="default" w:ascii="Times New Roman" w:hAnsi="Times New Roman" w:eastAsia="仿宋_GB2312" w:cs="Times New Roman"/>
                <w:color w:val="auto"/>
                <w:sz w:val="24"/>
              </w:rPr>
            </w:pPr>
          </w:p>
        </w:tc>
        <w:tc>
          <w:tcPr>
            <w:tcW w:w="37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省级少数民族特色村寨</w:t>
            </w:r>
          </w:p>
        </w:tc>
        <w:tc>
          <w:tcPr>
            <w:tcW w:w="85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个</w:t>
            </w:r>
          </w:p>
        </w:tc>
        <w:tc>
          <w:tcPr>
            <w:tcW w:w="108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r>
      <w:tr>
        <w:tblPrEx>
          <w:tblCellMar>
            <w:top w:w="15" w:type="dxa"/>
            <w:left w:w="15" w:type="dxa"/>
            <w:bottom w:w="15" w:type="dxa"/>
            <w:right w:w="15" w:type="dxa"/>
          </w:tblCellMar>
        </w:tblPrEx>
        <w:trPr>
          <w:trHeight w:val="345" w:hRule="atLeast"/>
          <w:jc w:val="center"/>
        </w:trPr>
        <w:tc>
          <w:tcPr>
            <w:tcW w:w="127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400" w:lineRule="exact"/>
              <w:jc w:val="left"/>
              <w:rPr>
                <w:rFonts w:hint="default" w:ascii="Times New Roman" w:hAnsi="Times New Roman" w:eastAsia="仿宋_GB2312" w:cs="Times New Roman"/>
                <w:color w:val="auto"/>
                <w:sz w:val="24"/>
              </w:rPr>
            </w:pPr>
          </w:p>
        </w:tc>
        <w:tc>
          <w:tcPr>
            <w:tcW w:w="5286"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新时代美丽乡村创建达标率</w:t>
            </w:r>
          </w:p>
        </w:tc>
        <w:tc>
          <w:tcPr>
            <w:tcW w:w="85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w:t>
            </w:r>
          </w:p>
        </w:tc>
        <w:tc>
          <w:tcPr>
            <w:tcW w:w="108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25</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100</w:t>
            </w:r>
          </w:p>
        </w:tc>
      </w:tr>
      <w:tr>
        <w:tblPrEx>
          <w:tblCellMar>
            <w:top w:w="15" w:type="dxa"/>
            <w:left w:w="15" w:type="dxa"/>
            <w:bottom w:w="15" w:type="dxa"/>
            <w:right w:w="15" w:type="dxa"/>
          </w:tblCellMar>
        </w:tblPrEx>
        <w:trPr>
          <w:trHeight w:val="345" w:hRule="atLeast"/>
          <w:jc w:val="center"/>
        </w:trPr>
        <w:tc>
          <w:tcPr>
            <w:tcW w:w="127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400" w:lineRule="exact"/>
              <w:jc w:val="left"/>
              <w:rPr>
                <w:rFonts w:hint="default" w:ascii="Times New Roman" w:hAnsi="Times New Roman" w:eastAsia="仿宋_GB2312" w:cs="Times New Roman"/>
                <w:color w:val="auto"/>
                <w:sz w:val="24"/>
              </w:rPr>
            </w:pPr>
          </w:p>
        </w:tc>
        <w:tc>
          <w:tcPr>
            <w:tcW w:w="5286"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美丽乡村特色精品村</w:t>
            </w:r>
          </w:p>
        </w:tc>
        <w:tc>
          <w:tcPr>
            <w:tcW w:w="85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个</w:t>
            </w:r>
          </w:p>
        </w:tc>
        <w:tc>
          <w:tcPr>
            <w:tcW w:w="108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6</w:t>
            </w:r>
          </w:p>
        </w:tc>
      </w:tr>
      <w:tr>
        <w:tblPrEx>
          <w:tblCellMar>
            <w:top w:w="15" w:type="dxa"/>
            <w:left w:w="15" w:type="dxa"/>
            <w:bottom w:w="15" w:type="dxa"/>
            <w:right w:w="15" w:type="dxa"/>
          </w:tblCellMar>
        </w:tblPrEx>
        <w:trPr>
          <w:trHeight w:val="345" w:hRule="atLeast"/>
          <w:jc w:val="center"/>
        </w:trPr>
        <w:tc>
          <w:tcPr>
            <w:tcW w:w="127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400" w:lineRule="exact"/>
              <w:jc w:val="left"/>
              <w:rPr>
                <w:rFonts w:hint="default" w:ascii="Times New Roman" w:hAnsi="Times New Roman" w:eastAsia="仿宋_GB2312" w:cs="Times New Roman"/>
                <w:color w:val="auto"/>
                <w:sz w:val="24"/>
              </w:rPr>
            </w:pPr>
          </w:p>
        </w:tc>
        <w:tc>
          <w:tcPr>
            <w:tcW w:w="5286"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center"/>
              <w:rPr>
                <w:rFonts w:hint="default" w:ascii="Times New Roman" w:hAnsi="Times New Roman" w:eastAsia="仿宋_GB2312" w:cs="Times New Roman"/>
                <w:color w:val="auto"/>
                <w:sz w:val="24"/>
              </w:rPr>
            </w:pPr>
            <w:bookmarkStart w:id="21" w:name="_Hlk67644296"/>
            <w:r>
              <w:rPr>
                <w:rFonts w:hint="default" w:ascii="Times New Roman" w:hAnsi="Times New Roman" w:eastAsia="仿宋_GB2312" w:cs="Times New Roman"/>
                <w:color w:val="auto"/>
                <w:kern w:val="0"/>
                <w:sz w:val="24"/>
              </w:rPr>
              <w:t>新时代美丽城镇</w:t>
            </w:r>
            <w:bookmarkEnd w:id="21"/>
          </w:p>
        </w:tc>
        <w:tc>
          <w:tcPr>
            <w:tcW w:w="85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个</w:t>
            </w:r>
          </w:p>
        </w:tc>
        <w:tc>
          <w:tcPr>
            <w:tcW w:w="108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w:t>
            </w:r>
          </w:p>
        </w:tc>
      </w:tr>
      <w:tr>
        <w:tblPrEx>
          <w:tblCellMar>
            <w:top w:w="15" w:type="dxa"/>
            <w:left w:w="15" w:type="dxa"/>
            <w:bottom w:w="15" w:type="dxa"/>
            <w:right w:w="15" w:type="dxa"/>
          </w:tblCellMar>
        </w:tblPrEx>
        <w:trPr>
          <w:trHeight w:val="345" w:hRule="atLeast"/>
          <w:jc w:val="center"/>
        </w:trPr>
        <w:tc>
          <w:tcPr>
            <w:tcW w:w="127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400" w:lineRule="exact"/>
              <w:jc w:val="left"/>
              <w:rPr>
                <w:rFonts w:hint="default" w:ascii="Times New Roman" w:hAnsi="Times New Roman" w:eastAsia="仿宋_GB2312" w:cs="Times New Roman"/>
                <w:color w:val="auto"/>
                <w:sz w:val="24"/>
              </w:rPr>
            </w:pPr>
          </w:p>
        </w:tc>
        <w:tc>
          <w:tcPr>
            <w:tcW w:w="5286"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center"/>
              <w:rPr>
                <w:rFonts w:hint="default" w:ascii="Times New Roman" w:hAnsi="Times New Roman" w:eastAsia="仿宋_GB2312" w:cs="Times New Roman"/>
                <w:color w:val="auto"/>
                <w:sz w:val="24"/>
              </w:rPr>
            </w:pPr>
            <w:bookmarkStart w:id="22" w:name="_Hlk67646710"/>
            <w:r>
              <w:rPr>
                <w:rFonts w:hint="default" w:ascii="Times New Roman" w:hAnsi="Times New Roman" w:eastAsia="仿宋_GB2312" w:cs="Times New Roman"/>
                <w:color w:val="auto"/>
                <w:kern w:val="0"/>
                <w:sz w:val="24"/>
              </w:rPr>
              <w:t>省3A级及以上景区村</w:t>
            </w:r>
            <w:bookmarkEnd w:id="22"/>
          </w:p>
        </w:tc>
        <w:tc>
          <w:tcPr>
            <w:tcW w:w="85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个</w:t>
            </w:r>
          </w:p>
        </w:tc>
        <w:tc>
          <w:tcPr>
            <w:tcW w:w="108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5</w:t>
            </w:r>
          </w:p>
        </w:tc>
      </w:tr>
      <w:tr>
        <w:tblPrEx>
          <w:tblCellMar>
            <w:top w:w="15" w:type="dxa"/>
            <w:left w:w="15" w:type="dxa"/>
            <w:bottom w:w="15" w:type="dxa"/>
            <w:right w:w="15" w:type="dxa"/>
          </w:tblCellMar>
        </w:tblPrEx>
        <w:trPr>
          <w:trHeight w:val="345" w:hRule="atLeast"/>
          <w:jc w:val="center"/>
        </w:trPr>
        <w:tc>
          <w:tcPr>
            <w:tcW w:w="1276"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基层基础和社会治理</w:t>
            </w:r>
          </w:p>
        </w:tc>
        <w:tc>
          <w:tcPr>
            <w:tcW w:w="5286"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县级及以上文明村镇占比</w:t>
            </w:r>
          </w:p>
        </w:tc>
        <w:tc>
          <w:tcPr>
            <w:tcW w:w="85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w:t>
            </w:r>
          </w:p>
        </w:tc>
        <w:tc>
          <w:tcPr>
            <w:tcW w:w="108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100</w:t>
            </w:r>
          </w:p>
        </w:tc>
      </w:tr>
      <w:tr>
        <w:tblPrEx>
          <w:tblCellMar>
            <w:top w:w="15" w:type="dxa"/>
            <w:left w:w="15" w:type="dxa"/>
            <w:bottom w:w="15" w:type="dxa"/>
            <w:right w:w="15" w:type="dxa"/>
          </w:tblCellMar>
        </w:tblPrEx>
        <w:trPr>
          <w:trHeight w:val="345" w:hRule="atLeast"/>
          <w:jc w:val="center"/>
        </w:trPr>
        <w:tc>
          <w:tcPr>
            <w:tcW w:w="127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400" w:lineRule="exact"/>
              <w:jc w:val="left"/>
              <w:rPr>
                <w:rFonts w:hint="default" w:ascii="Times New Roman" w:hAnsi="Times New Roman" w:eastAsia="仿宋_GB2312" w:cs="Times New Roman"/>
                <w:color w:val="auto"/>
                <w:sz w:val="24"/>
              </w:rPr>
            </w:pPr>
          </w:p>
        </w:tc>
        <w:tc>
          <w:tcPr>
            <w:tcW w:w="5286"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农村文化礼堂星级评定率</w:t>
            </w:r>
          </w:p>
        </w:tc>
        <w:tc>
          <w:tcPr>
            <w:tcW w:w="85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w:t>
            </w:r>
          </w:p>
        </w:tc>
        <w:tc>
          <w:tcPr>
            <w:tcW w:w="108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100</w:t>
            </w:r>
          </w:p>
        </w:tc>
      </w:tr>
      <w:tr>
        <w:tblPrEx>
          <w:tblCellMar>
            <w:top w:w="15" w:type="dxa"/>
            <w:left w:w="15" w:type="dxa"/>
            <w:bottom w:w="15" w:type="dxa"/>
            <w:right w:w="15" w:type="dxa"/>
          </w:tblCellMar>
        </w:tblPrEx>
        <w:trPr>
          <w:trHeight w:val="345" w:hRule="atLeast"/>
          <w:jc w:val="center"/>
        </w:trPr>
        <w:tc>
          <w:tcPr>
            <w:tcW w:w="127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400" w:lineRule="exact"/>
              <w:jc w:val="left"/>
              <w:rPr>
                <w:rFonts w:hint="default" w:ascii="Times New Roman" w:hAnsi="Times New Roman" w:eastAsia="仿宋_GB2312" w:cs="Times New Roman"/>
                <w:color w:val="auto"/>
                <w:sz w:val="24"/>
              </w:rPr>
            </w:pPr>
          </w:p>
        </w:tc>
        <w:tc>
          <w:tcPr>
            <w:tcW w:w="5286"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省级法治示范村</w:t>
            </w:r>
          </w:p>
        </w:tc>
        <w:tc>
          <w:tcPr>
            <w:tcW w:w="85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个</w:t>
            </w:r>
          </w:p>
        </w:tc>
        <w:tc>
          <w:tcPr>
            <w:tcW w:w="108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r>
      <w:tr>
        <w:tblPrEx>
          <w:tblCellMar>
            <w:top w:w="15" w:type="dxa"/>
            <w:left w:w="15" w:type="dxa"/>
            <w:bottom w:w="15" w:type="dxa"/>
            <w:right w:w="15" w:type="dxa"/>
          </w:tblCellMar>
        </w:tblPrEx>
        <w:trPr>
          <w:trHeight w:val="345" w:hRule="atLeast"/>
          <w:jc w:val="center"/>
        </w:trPr>
        <w:tc>
          <w:tcPr>
            <w:tcW w:w="127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400" w:lineRule="exact"/>
              <w:jc w:val="left"/>
              <w:rPr>
                <w:rFonts w:hint="default" w:ascii="Times New Roman" w:hAnsi="Times New Roman" w:eastAsia="仿宋_GB2312" w:cs="Times New Roman"/>
                <w:color w:val="auto"/>
                <w:sz w:val="24"/>
              </w:rPr>
            </w:pPr>
          </w:p>
        </w:tc>
        <w:tc>
          <w:tcPr>
            <w:tcW w:w="5286"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省级少数民族传统体育基地</w:t>
            </w:r>
          </w:p>
        </w:tc>
        <w:tc>
          <w:tcPr>
            <w:tcW w:w="85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个</w:t>
            </w:r>
          </w:p>
        </w:tc>
        <w:tc>
          <w:tcPr>
            <w:tcW w:w="108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w:t>
            </w:r>
          </w:p>
        </w:tc>
      </w:tr>
      <w:tr>
        <w:tblPrEx>
          <w:tblCellMar>
            <w:top w:w="15" w:type="dxa"/>
            <w:left w:w="15" w:type="dxa"/>
            <w:bottom w:w="15" w:type="dxa"/>
            <w:right w:w="15" w:type="dxa"/>
          </w:tblCellMar>
        </w:tblPrEx>
        <w:trPr>
          <w:trHeight w:val="345" w:hRule="atLeast"/>
          <w:jc w:val="center"/>
        </w:trPr>
        <w:tc>
          <w:tcPr>
            <w:tcW w:w="127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400" w:lineRule="exact"/>
              <w:jc w:val="left"/>
              <w:rPr>
                <w:rFonts w:hint="default" w:ascii="Times New Roman" w:hAnsi="Times New Roman" w:eastAsia="仿宋_GB2312" w:cs="Times New Roman"/>
                <w:color w:val="auto"/>
                <w:sz w:val="24"/>
              </w:rPr>
            </w:pPr>
          </w:p>
        </w:tc>
        <w:tc>
          <w:tcPr>
            <w:tcW w:w="5286"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少数民族15年教育普及率</w:t>
            </w:r>
          </w:p>
        </w:tc>
        <w:tc>
          <w:tcPr>
            <w:tcW w:w="85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w:t>
            </w:r>
          </w:p>
        </w:tc>
        <w:tc>
          <w:tcPr>
            <w:tcW w:w="108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99</w:t>
            </w:r>
          </w:p>
        </w:tc>
      </w:tr>
      <w:tr>
        <w:tblPrEx>
          <w:tblCellMar>
            <w:top w:w="15" w:type="dxa"/>
            <w:left w:w="15" w:type="dxa"/>
            <w:bottom w:w="15" w:type="dxa"/>
            <w:right w:w="15" w:type="dxa"/>
          </w:tblCellMar>
        </w:tblPrEx>
        <w:trPr>
          <w:trHeight w:val="345" w:hRule="atLeast"/>
          <w:jc w:val="center"/>
        </w:trPr>
        <w:tc>
          <w:tcPr>
            <w:tcW w:w="127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400" w:lineRule="exact"/>
              <w:jc w:val="left"/>
              <w:rPr>
                <w:rFonts w:hint="default" w:ascii="Times New Roman" w:hAnsi="Times New Roman" w:eastAsia="仿宋_GB2312" w:cs="Times New Roman"/>
                <w:color w:val="auto"/>
                <w:sz w:val="24"/>
              </w:rPr>
            </w:pPr>
          </w:p>
        </w:tc>
        <w:tc>
          <w:tcPr>
            <w:tcW w:w="5286"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民族乡村城乡居民医疗保险参保率</w:t>
            </w:r>
          </w:p>
        </w:tc>
        <w:tc>
          <w:tcPr>
            <w:tcW w:w="85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w:t>
            </w:r>
          </w:p>
        </w:tc>
        <w:tc>
          <w:tcPr>
            <w:tcW w:w="108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99</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99以上</w:t>
            </w:r>
          </w:p>
        </w:tc>
      </w:tr>
      <w:tr>
        <w:tblPrEx>
          <w:tblCellMar>
            <w:top w:w="15" w:type="dxa"/>
            <w:left w:w="15" w:type="dxa"/>
            <w:bottom w:w="15" w:type="dxa"/>
            <w:right w:w="15" w:type="dxa"/>
          </w:tblCellMar>
        </w:tblPrEx>
        <w:trPr>
          <w:trHeight w:val="345" w:hRule="atLeast"/>
          <w:jc w:val="center"/>
        </w:trPr>
        <w:tc>
          <w:tcPr>
            <w:tcW w:w="127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400" w:lineRule="exact"/>
              <w:jc w:val="left"/>
              <w:rPr>
                <w:rFonts w:hint="default" w:ascii="Times New Roman" w:hAnsi="Times New Roman" w:eastAsia="仿宋_GB2312" w:cs="Times New Roman"/>
                <w:color w:val="auto"/>
                <w:sz w:val="24"/>
              </w:rPr>
            </w:pPr>
          </w:p>
        </w:tc>
        <w:tc>
          <w:tcPr>
            <w:tcW w:w="5286"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民族村两委有少数民族干部的行政村占比</w:t>
            </w:r>
          </w:p>
        </w:tc>
        <w:tc>
          <w:tcPr>
            <w:tcW w:w="85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w:t>
            </w:r>
          </w:p>
        </w:tc>
        <w:tc>
          <w:tcPr>
            <w:tcW w:w="108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100</w:t>
            </w:r>
          </w:p>
        </w:tc>
      </w:tr>
      <w:tr>
        <w:tblPrEx>
          <w:tblCellMar>
            <w:top w:w="15" w:type="dxa"/>
            <w:left w:w="15" w:type="dxa"/>
            <w:bottom w:w="15" w:type="dxa"/>
            <w:right w:w="15" w:type="dxa"/>
          </w:tblCellMar>
        </w:tblPrEx>
        <w:trPr>
          <w:trHeight w:val="345" w:hRule="atLeast"/>
          <w:jc w:val="center"/>
        </w:trPr>
        <w:tc>
          <w:tcPr>
            <w:tcW w:w="1276"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民族团结   进步创建</w:t>
            </w:r>
          </w:p>
        </w:tc>
        <w:tc>
          <w:tcPr>
            <w:tcW w:w="5286"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全国民族团结进步示范区示范单位</w:t>
            </w:r>
          </w:p>
        </w:tc>
        <w:tc>
          <w:tcPr>
            <w:tcW w:w="85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个</w:t>
            </w:r>
          </w:p>
        </w:tc>
        <w:tc>
          <w:tcPr>
            <w:tcW w:w="108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w:t>
            </w:r>
          </w:p>
        </w:tc>
      </w:tr>
      <w:tr>
        <w:tblPrEx>
          <w:tblCellMar>
            <w:top w:w="15" w:type="dxa"/>
            <w:left w:w="15" w:type="dxa"/>
            <w:bottom w:w="15" w:type="dxa"/>
            <w:right w:w="15" w:type="dxa"/>
          </w:tblCellMar>
        </w:tblPrEx>
        <w:trPr>
          <w:trHeight w:val="345" w:hRule="atLeast"/>
          <w:jc w:val="center"/>
        </w:trPr>
        <w:tc>
          <w:tcPr>
            <w:tcW w:w="127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400" w:lineRule="exact"/>
              <w:jc w:val="left"/>
              <w:rPr>
                <w:rFonts w:hint="default" w:ascii="Times New Roman" w:hAnsi="Times New Roman" w:eastAsia="仿宋_GB2312" w:cs="Times New Roman"/>
                <w:color w:val="auto"/>
                <w:sz w:val="24"/>
              </w:rPr>
            </w:pPr>
          </w:p>
        </w:tc>
        <w:tc>
          <w:tcPr>
            <w:tcW w:w="5286"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省级民族团结进步重点培育单位</w:t>
            </w:r>
          </w:p>
        </w:tc>
        <w:tc>
          <w:tcPr>
            <w:tcW w:w="85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个</w:t>
            </w:r>
          </w:p>
        </w:tc>
        <w:tc>
          <w:tcPr>
            <w:tcW w:w="108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10</w:t>
            </w:r>
          </w:p>
        </w:tc>
      </w:tr>
    </w:tbl>
    <w:p>
      <w:pPr>
        <w:pStyle w:val="3"/>
        <w:keepNext/>
        <w:keepLines/>
        <w:pageBreakBefore w:val="0"/>
        <w:widowControl w:val="0"/>
        <w:numPr>
          <w:ilvl w:val="1"/>
          <w:numId w:val="1"/>
        </w:numPr>
        <w:kinsoku/>
        <w:wordWrap/>
        <w:overflowPunct/>
        <w:topLinePunct w:val="0"/>
        <w:autoSpaceDE/>
        <w:autoSpaceDN/>
        <w:bidi w:val="0"/>
        <w:adjustRightInd/>
        <w:snapToGrid/>
        <w:spacing w:before="0" w:after="0" w:line="560" w:lineRule="exact"/>
        <w:ind w:left="567" w:firstLine="0" w:firstLineChars="0"/>
        <w:textAlignment w:val="auto"/>
        <w:rPr>
          <w:rFonts w:hint="default" w:ascii="Times New Roman" w:hAnsi="Times New Roman" w:cs="Times New Roman"/>
          <w:b w:val="0"/>
          <w:bCs/>
          <w:color w:val="auto"/>
        </w:rPr>
      </w:pPr>
      <w:bookmarkStart w:id="23" w:name="_Toc71629971"/>
      <w:r>
        <w:rPr>
          <w:rFonts w:hint="default" w:ascii="Times New Roman" w:hAnsi="Times New Roman" w:cs="Times New Roman"/>
          <w:b w:val="0"/>
          <w:bCs/>
          <w:color w:val="auto"/>
        </w:rPr>
        <w:t>空间优化布局</w:t>
      </w:r>
      <w:bookmarkEnd w:id="23"/>
    </w:p>
    <w:p>
      <w:pPr>
        <w:pageBreakBefore w:val="0"/>
        <w:widowControl w:val="0"/>
        <w:kinsoku/>
        <w:wordWrap/>
        <w:overflowPunct/>
        <w:topLinePunct w:val="0"/>
        <w:autoSpaceDE/>
        <w:autoSpaceDN/>
        <w:bidi w:val="0"/>
        <w:adjustRightInd/>
        <w:snapToGrid/>
        <w:spacing w:line="560" w:lineRule="exact"/>
        <w:ind w:firstLine="55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以“一轴、两带、多点”谋划实施全域民族乡村高质量发展。</w:t>
      </w:r>
      <w:r>
        <w:rPr>
          <w:rFonts w:hint="default" w:ascii="Times New Roman" w:hAnsi="Times New Roman" w:eastAsia="仿宋_GB2312" w:cs="Times New Roman"/>
          <w:b/>
          <w:color w:val="auto"/>
          <w:sz w:val="32"/>
          <w:szCs w:val="32"/>
        </w:rPr>
        <w:t>一轴</w:t>
      </w:r>
      <w:r>
        <w:rPr>
          <w:rFonts w:hint="default" w:ascii="Times New Roman" w:hAnsi="Times New Roman" w:eastAsia="仿宋_GB2312" w:cs="Times New Roman"/>
          <w:color w:val="auto"/>
          <w:sz w:val="32"/>
          <w:szCs w:val="32"/>
        </w:rPr>
        <w:t>：紧抓“浙南红都”——省委党校平阳分校为红色发展核心，串联周边“生态+古村落+民族风情”等特色资源，形成南雁堂基村——顺溪溪南村——青街九岱村特色村寨红色民族风情旅游发展轴线。</w:t>
      </w:r>
      <w:r>
        <w:rPr>
          <w:rFonts w:hint="default" w:ascii="Times New Roman" w:hAnsi="Times New Roman" w:eastAsia="仿宋_GB2312" w:cs="Times New Roman"/>
          <w:b/>
          <w:color w:val="auto"/>
          <w:sz w:val="32"/>
          <w:szCs w:val="32"/>
        </w:rPr>
        <w:t>两带</w:t>
      </w:r>
      <w:r>
        <w:rPr>
          <w:rFonts w:hint="default" w:ascii="Times New Roman" w:hAnsi="Times New Roman" w:eastAsia="仿宋_GB2312" w:cs="Times New Roman"/>
          <w:color w:val="auto"/>
          <w:sz w:val="32"/>
          <w:szCs w:val="32"/>
        </w:rPr>
        <w:t>：以“茶”“竹”等产业为突破口，创建两条绿色经济园区示范带。水头镇新联民族村大作“茶”文章，创建平阳黄汤茶绿色特色经济园区经济示范带，提升平阳黄汤茶博园影响力，打响新联 “茶旅融合”旅游品牌；青街畲族乡创建毛竹笋2300多亩绿色经济园区示范带，新建竹乡民宿园，将九岱、王神洞、睦源等民族乡村串点成线，点亮 “月光经济”。</w:t>
      </w:r>
      <w:r>
        <w:rPr>
          <w:rFonts w:hint="default" w:ascii="Times New Roman" w:hAnsi="Times New Roman" w:eastAsia="仿宋_GB2312" w:cs="Times New Roman"/>
          <w:b/>
          <w:color w:val="auto"/>
          <w:sz w:val="32"/>
          <w:szCs w:val="32"/>
        </w:rPr>
        <w:t>多点</w:t>
      </w:r>
      <w:r>
        <w:rPr>
          <w:rFonts w:hint="default" w:ascii="Times New Roman" w:hAnsi="Times New Roman" w:eastAsia="仿宋_GB2312" w:cs="Times New Roman"/>
          <w:color w:val="auto"/>
          <w:sz w:val="32"/>
          <w:szCs w:val="32"/>
        </w:rPr>
        <w:t>：包括东部的书阁民族村、西部的东北民族村、畲龙民族村等，坚持“一村一品、一村一业”，继续提升书阁村鸽业养殖，延伸产业链，其他乡村根据自身特色资源，结合交通区位打造特色村寨。</w:t>
      </w:r>
    </w:p>
    <w:p>
      <w:pPr>
        <w:spacing w:line="600" w:lineRule="exact"/>
        <w:ind w:firstLine="555"/>
        <w:rPr>
          <w:rFonts w:hint="default" w:ascii="Times New Roman" w:hAnsi="Times New Roman" w:eastAsia="仿宋_GB2312" w:cs="Times New Roman"/>
          <w:color w:val="auto"/>
          <w:sz w:val="30"/>
          <w:szCs w:val="30"/>
        </w:rPr>
      </w:pPr>
    </w:p>
    <w:p>
      <w:pPr>
        <w:spacing w:line="600" w:lineRule="exact"/>
        <w:ind w:firstLine="555"/>
        <w:rPr>
          <w:rFonts w:hint="default" w:ascii="Times New Roman" w:hAnsi="Times New Roman" w:eastAsia="仿宋_GB2312" w:cs="Times New Roman"/>
          <w:color w:val="auto"/>
          <w:sz w:val="30"/>
          <w:szCs w:val="30"/>
        </w:rPr>
      </w:pPr>
    </w:p>
    <w:p>
      <w:pPr>
        <w:rPr>
          <w:rFonts w:hint="default" w:ascii="Times New Roman" w:hAnsi="Times New Roman" w:eastAsia="黑体" w:cs="Times New Roman"/>
          <w:color w:val="auto"/>
          <w:sz w:val="36"/>
          <w:szCs w:val="36"/>
        </w:rPr>
      </w:pPr>
      <w:r>
        <w:rPr>
          <w:rFonts w:hint="default" w:ascii="Times New Roman" w:hAnsi="Times New Roman" w:eastAsia="黑体" w:cs="Times New Roman"/>
          <w:color w:val="auto"/>
          <w:sz w:val="36"/>
          <w:szCs w:val="36"/>
        </w:rPr>
        <w:br w:type="page"/>
      </w:r>
    </w:p>
    <w:p>
      <w:pPr>
        <w:pStyle w:val="2"/>
        <w:numPr>
          <w:ilvl w:val="0"/>
          <w:numId w:val="1"/>
        </w:numPr>
        <w:spacing w:beforeLines="50" w:afterLines="50"/>
        <w:jc w:val="center"/>
        <w:rPr>
          <w:rFonts w:hint="default" w:ascii="Times New Roman" w:hAnsi="Times New Roman" w:eastAsia="方正小标宋简体" w:cs="Times New Roman"/>
          <w:b w:val="0"/>
          <w:bCs/>
          <w:color w:val="auto"/>
          <w:sz w:val="36"/>
          <w:szCs w:val="36"/>
        </w:rPr>
      </w:pPr>
      <w:r>
        <w:rPr>
          <w:rFonts w:hint="default" w:ascii="Times New Roman" w:hAnsi="Times New Roman" w:eastAsia="方正小标宋简体" w:cs="Times New Roman"/>
          <w:b w:val="0"/>
          <w:bCs/>
          <w:color w:val="auto"/>
          <w:sz w:val="36"/>
          <w:szCs w:val="36"/>
        </w:rPr>
        <w:t xml:space="preserve"> </w:t>
      </w:r>
      <w:bookmarkStart w:id="24" w:name="_Toc71629972"/>
      <w:r>
        <w:rPr>
          <w:rFonts w:hint="default" w:ascii="Times New Roman" w:hAnsi="Times New Roman" w:eastAsia="方正小标宋简体" w:cs="Times New Roman"/>
          <w:b w:val="0"/>
          <w:bCs/>
          <w:color w:val="auto"/>
          <w:sz w:val="36"/>
          <w:szCs w:val="36"/>
        </w:rPr>
        <w:t>产业引领，夯实民族团结进步经济基础</w:t>
      </w:r>
      <w:bookmarkEnd w:id="24"/>
    </w:p>
    <w:p>
      <w:pPr>
        <w:pStyle w:val="3"/>
        <w:keepNext/>
        <w:keepLines/>
        <w:pageBreakBefore w:val="0"/>
        <w:widowControl w:val="0"/>
        <w:numPr>
          <w:ilvl w:val="1"/>
          <w:numId w:val="1"/>
        </w:numPr>
        <w:kinsoku/>
        <w:wordWrap/>
        <w:overflowPunct/>
        <w:topLinePunct w:val="0"/>
        <w:autoSpaceDE/>
        <w:autoSpaceDN/>
        <w:bidi w:val="0"/>
        <w:adjustRightInd/>
        <w:snapToGrid/>
        <w:spacing w:before="0" w:after="0" w:line="560" w:lineRule="exact"/>
        <w:ind w:left="567" w:firstLine="0"/>
        <w:textAlignment w:val="auto"/>
        <w:rPr>
          <w:rFonts w:hint="default" w:ascii="Times New Roman" w:hAnsi="Times New Roman" w:cs="Times New Roman"/>
          <w:b w:val="0"/>
          <w:bCs/>
          <w:color w:val="auto"/>
        </w:rPr>
      </w:pPr>
      <w:bookmarkStart w:id="25" w:name="_Toc71629973"/>
      <w:r>
        <w:rPr>
          <w:rFonts w:hint="default" w:ascii="Times New Roman" w:hAnsi="Times New Roman" w:cs="Times New Roman"/>
          <w:b w:val="0"/>
          <w:bCs/>
          <w:color w:val="auto"/>
        </w:rPr>
        <w:t>聚焦文旅主导产业</w:t>
      </w:r>
      <w:bookmarkEnd w:id="25"/>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借力平阳县省级全域旅游示范县创建，发挥少数民族和民族地区优质生态环境和特色文旅资源优势，加快发展生态文化旅游业，把文旅产业发展成平阳民族地区的主导产业。</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color w:val="auto"/>
          <w:sz w:val="32"/>
          <w:szCs w:val="32"/>
        </w:rPr>
      </w:pPr>
      <w:r>
        <w:rPr>
          <w:rFonts w:hint="default" w:ascii="Times New Roman" w:hAnsi="Times New Roman" w:eastAsia="楷体_GB2312" w:cs="Times New Roman"/>
          <w:b w:val="0"/>
          <w:bCs/>
          <w:color w:val="auto"/>
          <w:kern w:val="2"/>
          <w:sz w:val="32"/>
          <w:szCs w:val="32"/>
          <w:lang w:val="en-US" w:eastAsia="zh-CN" w:bidi="ar-SA"/>
        </w:rPr>
        <w:t>1.深挖民族文旅资源。</w:t>
      </w:r>
      <w:r>
        <w:rPr>
          <w:rFonts w:hint="default" w:ascii="Times New Roman" w:hAnsi="Times New Roman" w:eastAsia="仿宋_GB2312" w:cs="Times New Roman"/>
          <w:color w:val="auto"/>
          <w:sz w:val="32"/>
          <w:szCs w:val="32"/>
        </w:rPr>
        <w:t>深入挖掘平阳县少数民族历史贡献，梳理平阳少数民族特有民风、民俗及独特的民族手工艺品、饮食文化等，丰富旅游文化内涵，挖掘释放民族旅游资源潜力，突出独特性、体验性、精致性和感染力。加大民族地区旅游资源的开发力度，实现资源向资本的良性跨越。</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kern w:val="2"/>
          <w:sz w:val="32"/>
          <w:szCs w:val="32"/>
          <w:lang w:val="en-US" w:eastAsia="zh-CN" w:bidi="ar-SA"/>
        </w:rPr>
        <w:t>2.打造民族特色文旅产品。</w:t>
      </w:r>
      <w:r>
        <w:rPr>
          <w:rFonts w:hint="default" w:ascii="Times New Roman" w:hAnsi="Times New Roman" w:eastAsia="仿宋_GB2312" w:cs="Times New Roman"/>
          <w:color w:val="auto"/>
          <w:sz w:val="32"/>
          <w:szCs w:val="32"/>
        </w:rPr>
        <w:t>统筹规划平阳民族文化旅游资源，科学规划，合理布局，设计独具特色的民族旅游产品，增强地方旅游资源的吸引力。</w:t>
      </w:r>
      <w:r>
        <w:rPr>
          <w:rFonts w:hint="default" w:ascii="Times New Roman" w:hAnsi="Times New Roman" w:eastAsia="仿宋_GB2312" w:cs="Times New Roman"/>
          <w:bCs/>
          <w:color w:val="auto"/>
          <w:sz w:val="32"/>
          <w:szCs w:val="32"/>
        </w:rPr>
        <w:t>一是做细做优畲文化旅游。围绕畲乡文化，重点培育特色畲家美食、畲乡风情体验、药膳康养休闲等文旅产品，重点打造南雁堂基村——顺溪溪南村——青街九岱村特色村寨红色民族风情旅游带，推进“月光经济”二期项目等特色街区、镇区特色产业街建设，着力塑造青街“慢生活·微旅游”品牌，增强畲文化影响力，提升文旅产业产品内涵。二是扶持农耕文化旅游。依托高山独特自然景观，依托民宿、康养基地、休闲农庄等平台，重点培育田园观光、农耕体验、果蔬采摘等农耕文旅产品，重点打造一批农业综合体、农业休闲园等项目，推进传统农业生产功能空间向休闲农业景区多功能空间转化。三是打造民族文旅节庆品牌。继续谋划和推进 “三月三”畲乡民俗文化节、畲族风情旅</w:t>
      </w:r>
      <w:r>
        <w:rPr>
          <w:rFonts w:hint="default" w:ascii="Times New Roman" w:hAnsi="Times New Roman" w:eastAsia="仿宋_GB2312" w:cs="Times New Roman"/>
          <w:color w:val="auto"/>
          <w:sz w:val="32"/>
          <w:szCs w:val="32"/>
        </w:rPr>
        <w:t>游文化节等具有畲族风味的特色文化活动，让游客体验畲乡福地之旅，持续打响“畲”字品牌。</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kern w:val="2"/>
          <w:sz w:val="32"/>
          <w:szCs w:val="32"/>
          <w:lang w:val="en-US" w:eastAsia="zh-CN" w:bidi="ar-SA"/>
        </w:rPr>
        <w:t>3.提升民族地区旅游配套。</w:t>
      </w:r>
      <w:r>
        <w:rPr>
          <w:rFonts w:hint="default" w:ascii="Times New Roman" w:hAnsi="Times New Roman" w:eastAsia="仿宋_GB2312" w:cs="Times New Roman"/>
          <w:color w:val="auto"/>
          <w:sz w:val="32"/>
          <w:szCs w:val="32"/>
        </w:rPr>
        <w:t>加大对民族地区旅游基础设施和服务设施等硬件的投入，完善吃住行游购娱旅游要素，提高旅游通达性。完善民族地区交通建设，建立覆盖景区及周边城乡的交通网，完善景区、景点和道路标识，增强景区可进入性。抓好景区和民族村寨整体规划，建设相关娱乐、体验等休闲设施，推进整村民宿发展，加快提升建设九岱民族村民宿群、王神洞民族村民宿群、书阁民族村民宿群等，提高民族村寨接待服务水平。以本民族建筑风格对现有建筑进行改造，最大程度上突出少数民族特色，让游客充分的感受到“异域风情”。培育语言无障碍的文旅服务人员，注重引进或培养熟练掌握本民族传统文化人员，推进民族地区文旅做大做强。</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kern w:val="2"/>
          <w:sz w:val="32"/>
          <w:szCs w:val="32"/>
          <w:lang w:val="en-US" w:eastAsia="zh-CN" w:bidi="ar-SA"/>
        </w:rPr>
        <w:t>4.强化民族文旅营销。</w:t>
      </w:r>
      <w:r>
        <w:rPr>
          <w:rFonts w:hint="default" w:ascii="Times New Roman" w:hAnsi="Times New Roman" w:eastAsia="仿宋_GB2312" w:cs="Times New Roman"/>
          <w:color w:val="auto"/>
          <w:sz w:val="32"/>
          <w:szCs w:val="32"/>
        </w:rPr>
        <w:t>以各种现代化传媒为载体，通过短视频、直播、VR、纪录片等方式，借助多种艺术手段深入、广泛的宣传平阳民族地区旅游特色和文化内涵，形成多个民族特色旅游网红打卡地。开发设计畲族特色文创产品，创新民族服饰、民族手工艺品、民族图腾产品和民族饮食产品等一批特色民族旅游产品，实现旅游效益和文化效益的协调发展。对本地旅游产品统一进行包装策划，注重制作精细与独到的民族艺术表现，通过营销赋能，按照“人无我有、人有我优”的原则，打造平阳民族文旅品牌。</w:t>
      </w:r>
    </w:p>
    <w:p>
      <w:pPr>
        <w:pStyle w:val="3"/>
        <w:keepNext/>
        <w:keepLines/>
        <w:pageBreakBefore w:val="0"/>
        <w:widowControl w:val="0"/>
        <w:numPr>
          <w:ilvl w:val="1"/>
          <w:numId w:val="1"/>
        </w:numPr>
        <w:kinsoku/>
        <w:wordWrap/>
        <w:overflowPunct/>
        <w:topLinePunct w:val="0"/>
        <w:autoSpaceDE/>
        <w:autoSpaceDN/>
        <w:bidi w:val="0"/>
        <w:adjustRightInd/>
        <w:snapToGrid/>
        <w:spacing w:before="0" w:after="0" w:line="560" w:lineRule="exact"/>
        <w:ind w:left="567" w:firstLine="0"/>
        <w:textAlignment w:val="auto"/>
        <w:rPr>
          <w:rFonts w:hint="default" w:ascii="Times New Roman" w:hAnsi="Times New Roman" w:cs="Times New Roman"/>
          <w:b w:val="0"/>
          <w:bCs/>
          <w:color w:val="auto"/>
        </w:rPr>
      </w:pPr>
      <w:bookmarkStart w:id="26" w:name="_Toc71629974"/>
      <w:r>
        <w:rPr>
          <w:rFonts w:hint="default" w:ascii="Times New Roman" w:hAnsi="Times New Roman" w:cs="Times New Roman"/>
          <w:b w:val="0"/>
          <w:bCs/>
          <w:color w:val="auto"/>
        </w:rPr>
        <w:t>提效农业基础产业</w:t>
      </w:r>
      <w:bookmarkEnd w:id="26"/>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发挥平阳少数民族和民族地区生态资源和特色农产品、有机农产品优势，以土地流转为抓手，推进农业转型升级，大力发展生态农业、观光休闲农业，促进农业生态化、现代化、效益化发展。</w:t>
      </w:r>
    </w:p>
    <w:p>
      <w:pPr>
        <w:pageBreakBefore w:val="0"/>
        <w:kinsoku/>
        <w:wordWrap/>
        <w:overflowPunct/>
        <w:topLinePunct w:val="0"/>
        <w:autoSpaceDE/>
        <w:autoSpaceDN/>
        <w:bidi w:val="0"/>
        <w:adjustRightInd/>
        <w:snapToGrid/>
        <w:spacing w:afterLines="5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kern w:val="2"/>
          <w:sz w:val="32"/>
          <w:szCs w:val="32"/>
          <w:lang w:val="en-US" w:eastAsia="zh-CN" w:bidi="ar-SA"/>
        </w:rPr>
        <w:t>1.培育现代化农业体系。</w:t>
      </w:r>
      <w:r>
        <w:rPr>
          <w:rFonts w:hint="default" w:ascii="Times New Roman" w:hAnsi="Times New Roman" w:eastAsia="仿宋_GB2312" w:cs="Times New Roman"/>
          <w:color w:val="auto"/>
          <w:sz w:val="32"/>
          <w:szCs w:val="32"/>
        </w:rPr>
        <w:t>扶持平阳民族地区畜禽生态养殖、中药材、茶叶以及果蔬等种植业。促进农业生产集约化、园区化。提升水头镇新联民族村早香茶基地、鳌江镇书阁民族村肉蛋鸽基地，推进青街畲族乡九岱民族村和顺溪镇余山村茶园基地建设，推进青街畲族乡王神洞民族村和顺溪镇余山村金线莲中草药基地建设。推进青街畲族乡毛竹低产林改造，推进春冬笋、竹鞭笋产业建设，做强竹下原生态特产。大力推进农业+旅游的发展模式，推进农业产品的采摘观光、农耕体验，支持民族村休闲农业观光园建设。</w:t>
      </w:r>
    </w:p>
    <w:p>
      <w:pPr>
        <w:keepNext w:val="0"/>
        <w:keepLines w:val="0"/>
        <w:pageBreakBefore w:val="0"/>
        <w:widowControl w:val="0"/>
        <w:kinsoku/>
        <w:wordWrap/>
        <w:overflowPunct/>
        <w:topLinePunct w:val="0"/>
        <w:autoSpaceDE/>
        <w:autoSpaceDN/>
        <w:bidi w:val="0"/>
        <w:adjustRightInd/>
        <w:snapToGrid/>
        <w:spacing w:afterLines="5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kern w:val="2"/>
          <w:sz w:val="32"/>
          <w:szCs w:val="32"/>
          <w:lang w:val="en-US" w:eastAsia="zh-CN" w:bidi="ar-SA"/>
        </w:rPr>
        <w:t>2.大力发展农产品加工业。</w:t>
      </w:r>
      <w:r>
        <w:rPr>
          <w:rFonts w:hint="default" w:ascii="Times New Roman" w:hAnsi="Times New Roman" w:eastAsia="仿宋_GB2312" w:cs="Times New Roman"/>
          <w:color w:val="auto"/>
          <w:sz w:val="32"/>
          <w:szCs w:val="32"/>
        </w:rPr>
        <w:t>以市场为导向，加大对农业企业的扶持力度，积极发展农产品精深加工业，引导形成一批有市场竞争力的农产品加工品牌。提升原有生态农业品牌，发挥平阳黄汤品牌及鸽业产业的龙头效应，发掘竹下产业金线莲药材等新兴品牌，提高整体品牌度，促进少数民族地区特色农业发展。以水头新联民族村早香茶基地和鳌江书阁村肉蛋鸽基地等一批特色农业种养殖基地建设为契机，积极挖掘茶叶、肉蛋鸽等附加值，延伸特色农产品产业链。结合民族地区特色旅游开发，挖掘开发一批如漆器等具有畲族特色的民族手工艺产品，引导少数民族群众开展生产加工。大力发展来料加工业，带动少数民族群众增收致富。</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kern w:val="2"/>
          <w:sz w:val="32"/>
          <w:szCs w:val="32"/>
          <w:lang w:val="en-US" w:eastAsia="zh-CN" w:bidi="ar-SA"/>
        </w:rPr>
        <w:t>3.促进农业主体多样化。</w:t>
      </w:r>
      <w:r>
        <w:rPr>
          <w:rFonts w:hint="default" w:ascii="Times New Roman" w:hAnsi="Times New Roman" w:eastAsia="仿宋_GB2312" w:cs="Times New Roman"/>
          <w:color w:val="auto"/>
          <w:sz w:val="32"/>
          <w:szCs w:val="32"/>
        </w:rPr>
        <w:t>促进市场主体增量扩容，加大多种形式的少数民族地区现代农业经营主体培育，重点培育家庭农场、农民合作社、农村经纪人等新型农业经营主体，培育农业产业化联合体，通过订单农业、入股分红、托管服务等方式，将小农户融入农业产业链。优化营商环境，引导由本地大学生、企业家构成的“新农人”返乡创业，为民族地区的经济发展注入新的活力。支持非公有制经济健康发展，提高民营经济在民族地区经济总量中的比重。大力培育新型民族农业实用人才，培养造就大批有文化、懂技术、会经营的新型少数民族农民。</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kern w:val="2"/>
          <w:sz w:val="32"/>
          <w:szCs w:val="32"/>
          <w:lang w:val="en-US" w:eastAsia="zh-CN" w:bidi="ar-SA"/>
        </w:rPr>
        <w:t>4.推进农业发展数字化。</w:t>
      </w:r>
      <w:r>
        <w:rPr>
          <w:rFonts w:hint="default" w:ascii="Times New Roman" w:hAnsi="Times New Roman" w:eastAsia="仿宋_GB2312" w:cs="Times New Roman"/>
          <w:color w:val="auto"/>
          <w:sz w:val="32"/>
          <w:szCs w:val="32"/>
        </w:rPr>
        <w:t>利用5G网络、农业物联网、大数据等技术，对农业农田水质、土壤，以及气温进行实时监控，足不出户完成精准投饵、环境监控、病虫害检测等一系列工作。集中力量发展农业电商，以网红直播带货等新兴手段，推进农业营销手段转型升级。到2025年，少数民族地区省级电子商务专业村达到3个以上。</w:t>
      </w:r>
    </w:p>
    <w:p>
      <w:pPr>
        <w:pStyle w:val="3"/>
        <w:keepNext/>
        <w:keepLines/>
        <w:pageBreakBefore w:val="0"/>
        <w:widowControl w:val="0"/>
        <w:numPr>
          <w:ilvl w:val="1"/>
          <w:numId w:val="1"/>
        </w:numPr>
        <w:kinsoku/>
        <w:wordWrap/>
        <w:overflowPunct/>
        <w:topLinePunct w:val="0"/>
        <w:autoSpaceDE/>
        <w:autoSpaceDN/>
        <w:bidi w:val="0"/>
        <w:adjustRightInd/>
        <w:snapToGrid/>
        <w:spacing w:before="0" w:after="0" w:line="560" w:lineRule="exact"/>
        <w:ind w:left="567" w:firstLine="0"/>
        <w:textAlignment w:val="auto"/>
        <w:rPr>
          <w:rFonts w:hint="default" w:ascii="Times New Roman" w:hAnsi="Times New Roman" w:cs="Times New Roman"/>
          <w:b w:val="0"/>
          <w:bCs/>
          <w:color w:val="auto"/>
        </w:rPr>
      </w:pPr>
      <w:bookmarkStart w:id="27" w:name="_Toc71629975"/>
      <w:r>
        <w:rPr>
          <w:rFonts w:hint="default" w:ascii="Times New Roman" w:hAnsi="Times New Roman" w:cs="Times New Roman"/>
          <w:b w:val="0"/>
          <w:bCs/>
          <w:color w:val="auto"/>
        </w:rPr>
        <w:t>培育特色新兴产业</w:t>
      </w:r>
      <w:bookmarkEnd w:id="27"/>
    </w:p>
    <w:p>
      <w:pPr>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发挥少数民族地区的红色、古色、夜色等特色资源，探索培育适应新时代、新消费的新兴产业领域，激发新增长点。</w:t>
      </w:r>
      <w:r>
        <w:rPr>
          <w:rFonts w:hint="default" w:ascii="Times New Roman" w:hAnsi="Times New Roman" w:eastAsia="仿宋_GB2312" w:cs="Times New Roman"/>
          <w:b/>
          <w:color w:val="auto"/>
          <w:sz w:val="32"/>
          <w:szCs w:val="32"/>
        </w:rPr>
        <w:t>一是红色产业。</w:t>
      </w:r>
      <w:r>
        <w:rPr>
          <w:rFonts w:hint="default" w:ascii="Times New Roman" w:hAnsi="Times New Roman" w:eastAsia="仿宋_GB2312" w:cs="Times New Roman"/>
          <w:color w:val="auto"/>
          <w:sz w:val="32"/>
          <w:szCs w:val="32"/>
        </w:rPr>
        <w:t>平阳县作为浙南革命老根据地，红色旅游资源丰富，拥有着中共浙江省第一次代表大会会址、中国工农红军挺进师纪念园、中共闽浙边临时省委机关旧址等珍贵的革命遗迹。依托红色资源优势，深度挖掘畲族红色历史事迹，谋划“红色资源”与“绿色资源”整合开发，搭建符合本地旅游特性与优势的“红色旅游链”，并带动民族地区农业、文化产业、养生养老项目等多方面的发展，激发乡村振兴新动力。结合平阳民族地区山水和人文资源特色，积极推出“红色+蓝色”“红色+绿色”“红色+乡村”“红色+研学”“红色+文化遗产”等多种旅游产品，打好旅游发展组合拳，带动经济社会高质量发展。</w:t>
      </w:r>
      <w:r>
        <w:rPr>
          <w:rFonts w:hint="default" w:ascii="Times New Roman" w:hAnsi="Times New Roman" w:eastAsia="仿宋_GB2312" w:cs="Times New Roman"/>
          <w:b/>
          <w:color w:val="auto"/>
          <w:sz w:val="32"/>
          <w:szCs w:val="32"/>
        </w:rPr>
        <w:t>二是古色产业。</w:t>
      </w:r>
      <w:r>
        <w:rPr>
          <w:rFonts w:hint="default" w:ascii="Times New Roman" w:hAnsi="Times New Roman" w:eastAsia="仿宋_GB2312" w:cs="Times New Roman"/>
          <w:color w:val="auto"/>
          <w:sz w:val="32"/>
          <w:szCs w:val="32"/>
        </w:rPr>
        <w:t>将古镇保护、休闲度假、健康疗养、非遗体验相结合，进一步提升古镇品质，形成宜游、宜商、宜居的城市空间环境。围绕古镇的开发与保护，推进溪南村畲村民宿等特色主题民宿群开发、青街畲族乡旅游风情小镇创建工程(一期)、施味辛烈士故居、池氏古屋等历史古迹保护工程，积极发展遗址旅游和名人寻访地旅游。</w:t>
      </w:r>
      <w:r>
        <w:rPr>
          <w:rFonts w:hint="default" w:ascii="Times New Roman" w:hAnsi="Times New Roman" w:eastAsia="仿宋_GB2312" w:cs="Times New Roman"/>
          <w:b/>
          <w:color w:val="auto"/>
          <w:sz w:val="32"/>
          <w:szCs w:val="32"/>
        </w:rPr>
        <w:t>三是夜色产业。</w:t>
      </w:r>
      <w:r>
        <w:rPr>
          <w:rFonts w:hint="default" w:ascii="Times New Roman" w:hAnsi="Times New Roman" w:eastAsia="仿宋_GB2312" w:cs="Times New Roman"/>
          <w:color w:val="auto"/>
          <w:sz w:val="32"/>
          <w:szCs w:val="32"/>
        </w:rPr>
        <w:t>主要发展月光经济，以夜为媒，把旅游的时间延长到夜晚，把旅游的空间拓展到乡间，助推夜经济全面升温，开启“夜”的新篇章。继续提升青街畲族乡夜景灯光亮化工程一期，加快推进“月光经济”二期建设。</w:t>
      </w:r>
    </w:p>
    <w:p>
      <w:pPr>
        <w:pStyle w:val="3"/>
        <w:keepNext/>
        <w:keepLines/>
        <w:pageBreakBefore w:val="0"/>
        <w:widowControl w:val="0"/>
        <w:numPr>
          <w:ilvl w:val="1"/>
          <w:numId w:val="1"/>
        </w:numPr>
        <w:kinsoku/>
        <w:wordWrap/>
        <w:overflowPunct/>
        <w:topLinePunct w:val="0"/>
        <w:autoSpaceDE/>
        <w:autoSpaceDN/>
        <w:bidi w:val="0"/>
        <w:adjustRightInd/>
        <w:snapToGrid/>
        <w:spacing w:before="0" w:after="0" w:line="560" w:lineRule="exact"/>
        <w:ind w:left="567" w:firstLine="0"/>
        <w:textAlignment w:val="auto"/>
        <w:rPr>
          <w:rFonts w:hint="default" w:ascii="Times New Roman" w:hAnsi="Times New Roman" w:cs="Times New Roman"/>
          <w:b w:val="0"/>
          <w:bCs/>
          <w:color w:val="auto"/>
        </w:rPr>
      </w:pPr>
      <w:bookmarkStart w:id="28" w:name="_Toc71629976"/>
      <w:r>
        <w:rPr>
          <w:rFonts w:hint="default" w:ascii="Times New Roman" w:hAnsi="Times New Roman" w:cs="Times New Roman"/>
          <w:b w:val="0"/>
          <w:bCs/>
          <w:color w:val="auto"/>
        </w:rPr>
        <w:t>构建新型经营体系</w:t>
      </w:r>
      <w:bookmarkEnd w:id="28"/>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kern w:val="2"/>
          <w:sz w:val="32"/>
          <w:szCs w:val="32"/>
          <w:lang w:val="en-US" w:eastAsia="zh-CN" w:bidi="ar-SA"/>
        </w:rPr>
        <w:t>1.大力发展民族农民合作社。</w:t>
      </w:r>
      <w:r>
        <w:rPr>
          <w:rFonts w:hint="default" w:ascii="Times New Roman" w:hAnsi="Times New Roman" w:eastAsia="仿宋_GB2312" w:cs="Times New Roman"/>
          <w:color w:val="auto"/>
          <w:sz w:val="32"/>
          <w:szCs w:val="32"/>
        </w:rPr>
        <w:t>认真贯彻落实各级政府提出的财政、税收、金融、工商、用地、用电、人才、项目倾斜等政策，培育民族合作社联合社，鼓励少数民族群众创办家庭农场，推广民族专业大户与龙头企业、农民合作组织、农民经纪人建立的联系制度和产业化经营模式。引导工商资本参与农业产业化，培育一批产业关联度大、带动能力强的农业龙头企业。加快建立涵盖农业主要产业、创新引领作用突出的农创客队伍。</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kern w:val="2"/>
          <w:sz w:val="32"/>
          <w:szCs w:val="32"/>
          <w:lang w:val="en-US" w:eastAsia="zh-CN" w:bidi="ar-SA"/>
        </w:rPr>
        <w:t>2.发展新型农业经营方式。</w:t>
      </w:r>
      <w:r>
        <w:rPr>
          <w:rFonts w:hint="default" w:ascii="Times New Roman" w:hAnsi="Times New Roman" w:eastAsia="仿宋_GB2312" w:cs="Times New Roman"/>
          <w:color w:val="auto"/>
          <w:sz w:val="32"/>
          <w:szCs w:val="32"/>
        </w:rPr>
        <w:t>坚持和完善家庭联产承包责任制，加快土地承包经营权确权，完善土地承包经营权权能。积极稳妥推进土地承包经营权流转，发展多种形式的适度规模经营，并使之与当地农村劳动力转移程度相协调、与工业化城镇化水平相适应。加强土地流转风险防范，严防流转土地非农化、非粮化，提高土地产出率和劳动生产率，实现农业资源有效配置和永续利用，促进农业经营方式不断创新发展。挖掘集体土地、房屋、设施等资源和资产潜力，鼓励农户授权委托村集体经济组织代理，依法通过股份制、合作制、股份合作制、租赁等形式，积极参与产业融合发展。</w:t>
      </w:r>
    </w:p>
    <w:tbl>
      <w:tblPr>
        <w:tblStyle w:val="16"/>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0" w:type="dxa"/>
          </w:tcPr>
          <w:p>
            <w:pPr>
              <w:widowControl/>
              <w:spacing w:line="440" w:lineRule="exact"/>
              <w:rPr>
                <w:rFonts w:hint="default" w:ascii="Times New Roman" w:hAnsi="Times New Roman" w:eastAsia="仿宋_GB2312" w:cs="Times New Roman"/>
                <w:b/>
                <w:color w:val="auto"/>
                <w:sz w:val="28"/>
                <w:szCs w:val="28"/>
              </w:rPr>
            </w:pPr>
            <w:r>
              <w:rPr>
                <w:rFonts w:hint="default" w:ascii="Times New Roman" w:hAnsi="Times New Roman" w:eastAsia="黑体" w:cs="Times New Roman"/>
                <w:b w:val="0"/>
                <w:bCs/>
                <w:color w:val="auto"/>
                <w:sz w:val="28"/>
                <w:szCs w:val="28"/>
              </w:rPr>
              <w:t>专栏3-1：产业提升发展重点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0" w:type="dxa"/>
          </w:tcPr>
          <w:p>
            <w:pPr>
              <w:widowControl/>
              <w:spacing w:line="44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w:t>
            </w:r>
            <w:r>
              <w:rPr>
                <w:rFonts w:hint="default" w:ascii="Times New Roman" w:hAnsi="Times New Roman" w:eastAsia="楷体_GB2312" w:cs="Times New Roman"/>
                <w:color w:val="auto"/>
                <w:sz w:val="28"/>
                <w:szCs w:val="28"/>
              </w:rPr>
              <w:t xml:space="preserve"> 打造南雁畲旅目的地：</w:t>
            </w:r>
            <w:r>
              <w:rPr>
                <w:rFonts w:hint="default" w:ascii="Times New Roman" w:hAnsi="Times New Roman" w:eastAsia="仿宋_GB2312" w:cs="Times New Roman"/>
                <w:color w:val="auto"/>
                <w:sz w:val="28"/>
                <w:szCs w:val="28"/>
              </w:rPr>
              <w:t>按照省级旅游风情小镇标准，突出“千年畲乡”人文风貌，提升九岱、王神洞、睦源畲乡旅游小环线，融入顺溪、腾蛟、山门、凤卧、南雁、怀溪南雁旅游大环线，融合自然人文观光、民族风俗、运动休闲、养生度假功能于一体，打造独具韵味的“青街畲族民俗风情小镇”。</w:t>
            </w:r>
          </w:p>
          <w:p>
            <w:pPr>
              <w:widowControl/>
              <w:spacing w:line="440" w:lineRule="exact"/>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楷体_GB2312" w:cs="Times New Roman"/>
                <w:color w:val="auto"/>
                <w:sz w:val="28"/>
                <w:szCs w:val="28"/>
              </w:rPr>
              <w:t>提升平阳鸽产业发展：</w:t>
            </w:r>
            <w:r>
              <w:rPr>
                <w:rFonts w:hint="default" w:ascii="Times New Roman" w:hAnsi="Times New Roman" w:eastAsia="仿宋_GB2312" w:cs="Times New Roman"/>
                <w:color w:val="auto"/>
                <w:sz w:val="28"/>
                <w:szCs w:val="28"/>
              </w:rPr>
              <w:t>充分发挥“平阳蛋鸽”国家地理标志商标作用，以鳌江书阁村为核心，辐射周边农户，通过积极参加各种展销会、交易会等形式，加大宣传力度，扩大平阳鸽产业知名度，以品牌扩大规模，以品牌开拓市场，提升肉蛋鸽生产基地建设，延伸鸽蛋产业链，培育新的消费市场，积极争取深加工企业的引进建设，不断开发肉蛋鸽旅游产品。把平阳县建成集种鸽培育、肉蛋鸽养殖、乳鸽屠宰加工、销售及新技术研发为一体的绿色鸽产业化基地。</w:t>
            </w:r>
          </w:p>
        </w:tc>
      </w:tr>
    </w:tbl>
    <w:p>
      <w:pPr>
        <w:widowControl/>
        <w:jc w:val="left"/>
        <w:rPr>
          <w:rFonts w:hint="default" w:ascii="Times New Roman" w:hAnsi="Times New Roman" w:eastAsia="仿宋_GB2312" w:cs="Times New Roman"/>
          <w:color w:val="auto"/>
          <w:sz w:val="32"/>
          <w:szCs w:val="32"/>
        </w:rPr>
      </w:pPr>
    </w:p>
    <w:p>
      <w:pPr>
        <w:widowControl/>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br w:type="page"/>
      </w:r>
    </w:p>
    <w:p>
      <w:pPr>
        <w:pStyle w:val="2"/>
        <w:numPr>
          <w:ilvl w:val="0"/>
          <w:numId w:val="1"/>
        </w:numPr>
        <w:spacing w:beforeLines="50" w:afterLines="50"/>
        <w:jc w:val="center"/>
        <w:rPr>
          <w:rFonts w:hint="default" w:ascii="Times New Roman" w:hAnsi="Times New Roman" w:eastAsia="黑体" w:cs="Times New Roman"/>
          <w:color w:val="auto"/>
          <w:sz w:val="36"/>
          <w:szCs w:val="36"/>
        </w:rPr>
      </w:pPr>
      <w:r>
        <w:rPr>
          <w:rFonts w:hint="default" w:ascii="Times New Roman" w:hAnsi="Times New Roman" w:eastAsia="黑体" w:cs="Times New Roman"/>
          <w:color w:val="auto"/>
          <w:sz w:val="36"/>
          <w:szCs w:val="36"/>
        </w:rPr>
        <w:t xml:space="preserve"> </w:t>
      </w:r>
      <w:bookmarkStart w:id="29" w:name="_Toc71629977"/>
      <w:r>
        <w:rPr>
          <w:rFonts w:hint="default" w:ascii="Times New Roman" w:hAnsi="Times New Roman" w:eastAsia="方正小标宋简体" w:cs="Times New Roman"/>
          <w:b w:val="0"/>
          <w:bCs/>
          <w:color w:val="auto"/>
          <w:sz w:val="36"/>
          <w:szCs w:val="36"/>
        </w:rPr>
        <w:t>设施优化，提升民族团结进步环境基础</w:t>
      </w:r>
      <w:bookmarkEnd w:id="29"/>
    </w:p>
    <w:p>
      <w:pPr>
        <w:pStyle w:val="3"/>
        <w:keepNext/>
        <w:keepLines/>
        <w:pageBreakBefore w:val="0"/>
        <w:widowControl w:val="0"/>
        <w:numPr>
          <w:ilvl w:val="1"/>
          <w:numId w:val="1"/>
        </w:numPr>
        <w:kinsoku/>
        <w:wordWrap/>
        <w:overflowPunct/>
        <w:topLinePunct w:val="0"/>
        <w:autoSpaceDE/>
        <w:autoSpaceDN/>
        <w:bidi w:val="0"/>
        <w:adjustRightInd/>
        <w:snapToGrid/>
        <w:spacing w:before="0" w:after="0" w:line="560" w:lineRule="exact"/>
        <w:ind w:left="567" w:firstLine="0"/>
        <w:textAlignment w:val="auto"/>
        <w:rPr>
          <w:rFonts w:hint="default" w:ascii="Times New Roman" w:hAnsi="Times New Roman" w:cs="Times New Roman"/>
          <w:b w:val="0"/>
          <w:bCs/>
          <w:color w:val="auto"/>
        </w:rPr>
      </w:pPr>
      <w:bookmarkStart w:id="30" w:name="_Toc71629978"/>
      <w:r>
        <w:rPr>
          <w:rFonts w:hint="default" w:ascii="Times New Roman" w:hAnsi="Times New Roman" w:cs="Times New Roman"/>
          <w:b w:val="0"/>
          <w:bCs/>
          <w:color w:val="auto"/>
        </w:rPr>
        <w:t>融入区域交通网络</w:t>
      </w:r>
      <w:bookmarkEnd w:id="30"/>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借力平阳打造温南部综合交通枢纽，推进少数民族地区积极融入区域交通网络，推进发展资源和要素的集散和流通。</w:t>
      </w:r>
      <w:r>
        <w:rPr>
          <w:rFonts w:hint="default" w:ascii="Times New Roman" w:hAnsi="Times New Roman" w:eastAsia="仿宋_GB2312" w:cs="Times New Roman"/>
          <w:b/>
          <w:color w:val="auto"/>
          <w:sz w:val="32"/>
          <w:szCs w:val="32"/>
        </w:rPr>
        <w:t>一是全面保障县域交通网络。</w:t>
      </w:r>
      <w:r>
        <w:rPr>
          <w:rFonts w:hint="default" w:ascii="Times New Roman" w:hAnsi="Times New Roman" w:eastAsia="仿宋_GB2312" w:cs="Times New Roman"/>
          <w:color w:val="auto"/>
          <w:sz w:val="32"/>
          <w:szCs w:val="32"/>
        </w:rPr>
        <w:t>加强县域昆鳌主中心与水头副中心之间的联系，新建萧昆快速通道，延伸墨城互通连接线至胜利路，构建S219—57省道复线—萧昆通道快速走廊，打造水头至昆鳌主中心快速连接通道。推进港站城大道（G104国道西过境水头连接线、梅溪至鳌江互通、鳌江互通至动车站、动车站至昆阳）建设，构建S218—港站城大道—G104国道快速走廊，打造腾蛟至昆鳌主中心快速连接通道。</w:t>
      </w:r>
      <w:r>
        <w:rPr>
          <w:rFonts w:hint="default" w:ascii="Times New Roman" w:hAnsi="Times New Roman" w:eastAsia="仿宋_GB2312" w:cs="Times New Roman"/>
          <w:b/>
          <w:color w:val="auto"/>
          <w:sz w:val="32"/>
          <w:szCs w:val="32"/>
        </w:rPr>
        <w:t>二是加快建设民族地区通道。</w:t>
      </w:r>
      <w:r>
        <w:rPr>
          <w:rFonts w:hint="default" w:ascii="Times New Roman" w:hAnsi="Times New Roman" w:eastAsia="仿宋_GB2312" w:cs="Times New Roman"/>
          <w:color w:val="auto"/>
          <w:sz w:val="32"/>
          <w:szCs w:val="32"/>
        </w:rPr>
        <w:t>加快推进县乡道路工程建设，织密通景区、通镇村、通产业基地的县域特色路网体系。结合乡村振兴示范带建设，持续推进“四好农村路”建设，打通服务群众“最后一公里”农村公路。</w:t>
      </w:r>
    </w:p>
    <w:p>
      <w:pPr>
        <w:pStyle w:val="3"/>
        <w:keepNext/>
        <w:keepLines/>
        <w:pageBreakBefore w:val="0"/>
        <w:widowControl w:val="0"/>
        <w:numPr>
          <w:ilvl w:val="1"/>
          <w:numId w:val="1"/>
        </w:numPr>
        <w:kinsoku/>
        <w:wordWrap/>
        <w:overflowPunct/>
        <w:topLinePunct w:val="0"/>
        <w:autoSpaceDE/>
        <w:autoSpaceDN/>
        <w:bidi w:val="0"/>
        <w:adjustRightInd/>
        <w:snapToGrid/>
        <w:spacing w:before="0" w:after="0" w:line="560" w:lineRule="exact"/>
        <w:ind w:left="567" w:firstLine="0"/>
        <w:textAlignment w:val="auto"/>
        <w:rPr>
          <w:rFonts w:hint="default" w:ascii="Times New Roman" w:hAnsi="Times New Roman" w:cs="Times New Roman"/>
          <w:b w:val="0"/>
          <w:bCs/>
          <w:color w:val="auto"/>
        </w:rPr>
      </w:pPr>
      <w:bookmarkStart w:id="31" w:name="_Toc71629979"/>
      <w:r>
        <w:rPr>
          <w:rFonts w:hint="default" w:ascii="Times New Roman" w:hAnsi="Times New Roman" w:cs="Times New Roman"/>
          <w:b w:val="0"/>
          <w:bCs/>
          <w:color w:val="auto"/>
        </w:rPr>
        <w:t>加强基础设施建设</w:t>
      </w:r>
      <w:bookmarkEnd w:id="31"/>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着眼找差距、补短板，整合项目、资金向民族村寨倾斜，以点带面、稳步推进，全面完善民族地区基础设施建设。推进农田水利设施改造，加强水土流失综合治理，继续推进水库除险加固改造建设。加快实施中小河流治理，提高安全行洪等级。实施农村饮水安全巩固提升工程。完善民族地区电网基础设施，实施农村电网升级改造，全面提升电网安全水平、供电能力和供电可靠性。调整优化民族地区能源消费结构，提高清洁能源消费比例。加速信息基础设施部署，结合现代化新基建网布局，加快民族乡、村互联网基础设施建设，提高农村互联网入户率，提升信息网络服务与安全。推进融合信息设施建设，在平阳少数民族地区生态产业园、景区等区块，加强智能化应用，推动智慧农业园区、智慧旅游、智慧景区等发展。</w:t>
      </w:r>
    </w:p>
    <w:p>
      <w:pPr>
        <w:pStyle w:val="3"/>
        <w:keepNext/>
        <w:keepLines/>
        <w:pageBreakBefore w:val="0"/>
        <w:widowControl w:val="0"/>
        <w:numPr>
          <w:ilvl w:val="1"/>
          <w:numId w:val="1"/>
        </w:numPr>
        <w:kinsoku/>
        <w:wordWrap/>
        <w:overflowPunct/>
        <w:topLinePunct w:val="0"/>
        <w:autoSpaceDE/>
        <w:autoSpaceDN/>
        <w:bidi w:val="0"/>
        <w:adjustRightInd/>
        <w:snapToGrid/>
        <w:spacing w:before="0" w:after="0" w:line="560" w:lineRule="exact"/>
        <w:ind w:left="567" w:firstLine="0"/>
        <w:textAlignment w:val="auto"/>
        <w:rPr>
          <w:rFonts w:hint="default" w:ascii="Times New Roman" w:hAnsi="Times New Roman" w:cs="Times New Roman"/>
          <w:b w:val="0"/>
          <w:bCs/>
          <w:color w:val="auto"/>
        </w:rPr>
      </w:pPr>
      <w:bookmarkStart w:id="32" w:name="_Toc71629980"/>
      <w:r>
        <w:rPr>
          <w:rFonts w:hint="default" w:ascii="Times New Roman" w:hAnsi="Times New Roman" w:cs="Times New Roman"/>
          <w:b w:val="0"/>
          <w:bCs/>
          <w:color w:val="auto"/>
        </w:rPr>
        <w:t>完善公共服务设施</w:t>
      </w:r>
      <w:bookmarkEnd w:id="32"/>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支持民族地区优先发展教育事业，加大对民族地区教育发展的投入力度，加大民族地区中小学寄宿制学校建设和薄弱学校改造支持力度，推进义务教育均衡发展。继续实施高校毕业生就业关怀计划，对民族乡村少数民族困难学生实行一对一帮扶，加强就业服务。县财政每年安排少数民族教育专项资金30万元，由县民族宗教事务局统筹用于少数民族地区学校改善办学条件、少数民族传统文化体育建设以及少数民族贫困学生生活补助。以少数民族传统体育基地为中心，增加传统体育设施投入，完善少数民族传统体育基地建设。传承发扬少数民族传统体育运动，重视少数民族体育人才的培养，加强体育人才队伍建设。全面做好少数民族群众参加城乡居民基本医疗保险并提高参保率，县财政每年安排少数民族医疗困难补助经费20万元，用于困难少数民族患病户医疗费的补助。支持青街畲族乡卫生院基础设施建设，完善乡、村两级卫生医疗服务体系。支持利用闲置学校、废弃建筑、古厝古庙、宗祠祠堂等建设文化设施。</w:t>
      </w:r>
    </w:p>
    <w:p>
      <w:pPr>
        <w:pStyle w:val="3"/>
        <w:keepNext/>
        <w:keepLines/>
        <w:pageBreakBefore w:val="0"/>
        <w:widowControl w:val="0"/>
        <w:numPr>
          <w:ilvl w:val="1"/>
          <w:numId w:val="1"/>
        </w:numPr>
        <w:kinsoku/>
        <w:wordWrap/>
        <w:overflowPunct/>
        <w:topLinePunct w:val="0"/>
        <w:autoSpaceDE/>
        <w:autoSpaceDN/>
        <w:bidi w:val="0"/>
        <w:adjustRightInd/>
        <w:snapToGrid/>
        <w:spacing w:before="0" w:after="0" w:line="560" w:lineRule="exact"/>
        <w:ind w:left="567" w:firstLine="0"/>
        <w:textAlignment w:val="auto"/>
        <w:rPr>
          <w:rFonts w:hint="default" w:ascii="Times New Roman" w:hAnsi="Times New Roman" w:cs="Times New Roman"/>
          <w:b w:val="0"/>
          <w:bCs/>
          <w:color w:val="auto"/>
        </w:rPr>
      </w:pPr>
      <w:bookmarkStart w:id="33" w:name="_Toc71629981"/>
      <w:r>
        <w:rPr>
          <w:rFonts w:hint="default" w:ascii="Times New Roman" w:hAnsi="Times New Roman" w:cs="Times New Roman"/>
          <w:b w:val="0"/>
          <w:bCs/>
          <w:color w:val="auto"/>
        </w:rPr>
        <w:t>大力推进增收致富</w:t>
      </w:r>
      <w:bookmarkEnd w:id="33"/>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不断拓宽民族村集体经济增收渠道，提升村级组织自我“造血”能力。以“五色+旅游”品牌带动民宿、农家乐产业以点带面的蓬勃发展，进一步壮大村集体经济。鼓励和支持民族村发展资源型、物业型、服务型和创新型经济，盘活集体资源、资产，实现集体经济壮大。鼓励和支持组建传统手工艺合作社，吸纳群众入社发展生产，扩宽少数民族群众增收渠道，实现传统手工技艺保护与传承的良性发展。深化民族地区农村产权制度改革，构建归属清晰、权能完善、流转顺畅、保护严格的农村集体产权制度，推动村集体经济更高质量发展。实施“两进两回”行动，推动科技进乡村、资金进乡村、青年回农村、乡贤回农村，加大返乡创新创业政策支持力度。健全少数民族乡村劳动力就业创业服务体系，进一步完善村（社区）基层公共就业创业服务平台服务功能，提供政策咨询、信息发布、职业介绍、职业培训、创业指导等就业创业服务。通过专业培训、技能培训，拓展来料加工面、扩大外出就业面，提高劳技档次，增加劳务经济收入，“十四五”期间，力争培训500人次以上。</w:t>
      </w:r>
    </w:p>
    <w:p>
      <w:pPr>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br w:type="page"/>
      </w:r>
    </w:p>
    <w:p>
      <w:pPr>
        <w:pStyle w:val="2"/>
        <w:numPr>
          <w:ilvl w:val="0"/>
          <w:numId w:val="1"/>
        </w:numPr>
        <w:spacing w:beforeLines="50" w:afterLines="50"/>
        <w:jc w:val="center"/>
        <w:rPr>
          <w:rFonts w:hint="default" w:ascii="Times New Roman" w:hAnsi="Times New Roman" w:eastAsia="黑体" w:cs="Times New Roman"/>
          <w:color w:val="auto"/>
          <w:sz w:val="36"/>
          <w:szCs w:val="36"/>
        </w:rPr>
      </w:pPr>
      <w:r>
        <w:rPr>
          <w:rFonts w:hint="default" w:ascii="Times New Roman" w:hAnsi="Times New Roman" w:eastAsia="黑体" w:cs="Times New Roman"/>
          <w:color w:val="auto"/>
          <w:sz w:val="36"/>
          <w:szCs w:val="36"/>
        </w:rPr>
        <w:t xml:space="preserve"> </w:t>
      </w:r>
      <w:bookmarkStart w:id="34" w:name="_Toc71629982"/>
      <w:r>
        <w:rPr>
          <w:rFonts w:hint="default" w:ascii="Times New Roman" w:hAnsi="Times New Roman" w:eastAsia="方正小标宋简体" w:cs="Times New Roman"/>
          <w:b w:val="0"/>
          <w:bCs/>
          <w:color w:val="auto"/>
          <w:sz w:val="36"/>
          <w:szCs w:val="36"/>
        </w:rPr>
        <w:t>文化传承，塑造民族团结进步宣传阵地</w:t>
      </w:r>
      <w:bookmarkEnd w:id="34"/>
    </w:p>
    <w:p>
      <w:pPr>
        <w:pStyle w:val="3"/>
        <w:keepNext/>
        <w:keepLines/>
        <w:pageBreakBefore w:val="0"/>
        <w:widowControl w:val="0"/>
        <w:numPr>
          <w:ilvl w:val="1"/>
          <w:numId w:val="1"/>
        </w:numPr>
        <w:kinsoku/>
        <w:wordWrap/>
        <w:overflowPunct/>
        <w:topLinePunct w:val="0"/>
        <w:autoSpaceDE/>
        <w:autoSpaceDN/>
        <w:bidi w:val="0"/>
        <w:adjustRightInd/>
        <w:snapToGrid/>
        <w:spacing w:before="0" w:after="0" w:line="560" w:lineRule="exact"/>
        <w:ind w:left="567" w:firstLine="0"/>
        <w:textAlignment w:val="auto"/>
        <w:rPr>
          <w:rFonts w:hint="default" w:ascii="Times New Roman" w:hAnsi="Times New Roman" w:cs="Times New Roman"/>
          <w:b w:val="0"/>
          <w:bCs/>
          <w:color w:val="auto"/>
        </w:rPr>
      </w:pPr>
      <w:bookmarkStart w:id="35" w:name="_Toc71629983"/>
      <w:r>
        <w:rPr>
          <w:rFonts w:hint="default" w:ascii="Times New Roman" w:hAnsi="Times New Roman" w:cs="Times New Roman"/>
          <w:b w:val="0"/>
          <w:bCs/>
          <w:color w:val="auto"/>
        </w:rPr>
        <w:t>开展少数民族文体活动</w:t>
      </w:r>
      <w:bookmarkEnd w:id="3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2"/>
          <w:szCs w:val="32"/>
        </w:rPr>
        <w:t>办好瓯越“三月三”畲族风情旅游文化节、畲歌会，促进民族文化交流，丰富少数民族群众文化生活，向外传播畲族特色文化。支持青街乡村艺术团建设，积极参加全国少数民族文艺会演。积极承接省市少数民族传统体育运动会，举办好平阳县少数民族村运动会，促进少数民族群众性体育活动广泛开展。积极参加全国、省、市少数民族传统体育运动会，做好全国和省少数民族蹴球、陀螺、押加、板鞋竞速、集体项目等传统体育运动会比赛项目的选拔、训练、参赛组织工作。</w:t>
      </w:r>
    </w:p>
    <w:p>
      <w:pPr>
        <w:pStyle w:val="3"/>
        <w:keepNext/>
        <w:keepLines/>
        <w:pageBreakBefore w:val="0"/>
        <w:widowControl w:val="0"/>
        <w:numPr>
          <w:ilvl w:val="1"/>
          <w:numId w:val="1"/>
        </w:numPr>
        <w:kinsoku/>
        <w:wordWrap/>
        <w:overflowPunct/>
        <w:topLinePunct w:val="0"/>
        <w:autoSpaceDE/>
        <w:autoSpaceDN/>
        <w:bidi w:val="0"/>
        <w:adjustRightInd/>
        <w:snapToGrid/>
        <w:spacing w:before="0" w:after="0" w:line="560" w:lineRule="exact"/>
        <w:ind w:left="567" w:firstLine="0"/>
        <w:textAlignment w:val="auto"/>
        <w:rPr>
          <w:rFonts w:hint="default" w:ascii="Times New Roman" w:hAnsi="Times New Roman" w:cs="Times New Roman"/>
          <w:b w:val="0"/>
          <w:bCs/>
          <w:color w:val="auto"/>
        </w:rPr>
      </w:pPr>
      <w:bookmarkStart w:id="36" w:name="_Toc71629984"/>
      <w:r>
        <w:rPr>
          <w:rFonts w:hint="default" w:ascii="Times New Roman" w:hAnsi="Times New Roman" w:cs="Times New Roman"/>
          <w:b w:val="0"/>
          <w:bCs/>
          <w:color w:val="auto"/>
        </w:rPr>
        <w:t>强化文化保护传承</w:t>
      </w:r>
      <w:bookmarkEnd w:id="36"/>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kern w:val="2"/>
          <w:sz w:val="32"/>
          <w:szCs w:val="32"/>
          <w:lang w:val="en-US" w:eastAsia="zh-CN" w:bidi="ar-SA"/>
        </w:rPr>
        <w:t>1.文化创新与传承。</w:t>
      </w:r>
      <w:r>
        <w:rPr>
          <w:rFonts w:hint="default" w:ascii="Times New Roman" w:hAnsi="Times New Roman" w:eastAsia="仿宋_GB2312" w:cs="Times New Roman"/>
          <w:color w:val="auto"/>
          <w:sz w:val="32"/>
          <w:szCs w:val="32"/>
        </w:rPr>
        <w:t>运用现代技术推进少数民族传统文化创造性转化、创新性发展，加大少数民族艺术精品创作力度，鼓励创作具有民族特色和地方特点的民族文艺作品。开发和设计民族民间工艺品，丰富文化旅游商品。开展群众性民族文化活动，推进民族文化进校园、进社区、进乡镇、进机关、进场所。深入开展民族文化调研，不断推出优秀文化研究成果。继续加大民族古籍的整理、研究力度，出版一批富有影响力的民族古籍整理成果。</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kern w:val="2"/>
          <w:sz w:val="32"/>
          <w:szCs w:val="32"/>
          <w:lang w:val="en-US" w:eastAsia="zh-CN" w:bidi="ar-SA"/>
        </w:rPr>
        <w:t>2.文化遗产保护与利用。</w:t>
      </w:r>
      <w:r>
        <w:rPr>
          <w:rFonts w:hint="default" w:ascii="Times New Roman" w:hAnsi="Times New Roman" w:eastAsia="仿宋_GB2312" w:cs="Times New Roman"/>
          <w:color w:val="auto"/>
          <w:sz w:val="32"/>
          <w:szCs w:val="32"/>
        </w:rPr>
        <w:t>实行少数民族重要文化遗产抢救性保护，建立非物质文化遗产保护数据库，加快少数民族文化资源数字化建设进程。培育一批民族民间艺术传承人，建立民间艺术人才资源库，确保民族文化传承后继有人。创建一批民族民间生态文化保护区，创新民族文化生态保护方式，加强民间文化艺术之乡创建工作。充分挖掘民间故事、神话传说、民族史诗、音乐舞蹈等文化资源，创作少数民族文化题材的舞台剧及广播影视节目。加强青街畲族乡漆器文化的保护和传承，积极推动其申报省级、国家级非物质文化遗产。到2025年，培养少数民族民间文化传承人达到8人，少数民族传统文化队伍及工作室达到3个。</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kern w:val="2"/>
          <w:sz w:val="32"/>
          <w:szCs w:val="32"/>
          <w:lang w:val="en-US" w:eastAsia="zh-CN" w:bidi="ar-SA"/>
        </w:rPr>
        <w:t>3.文化展示平台建设。</w:t>
      </w:r>
      <w:r>
        <w:rPr>
          <w:rFonts w:hint="default" w:ascii="Times New Roman" w:hAnsi="Times New Roman" w:eastAsia="仿宋_GB2312" w:cs="Times New Roman"/>
          <w:color w:val="auto"/>
          <w:sz w:val="32"/>
          <w:szCs w:val="32"/>
        </w:rPr>
        <w:t>积极搭建少数民族文化展示平台，重点推进青街畲乡民族馆建设，谋划创建畲家大舞台，成立一支专业演出队伍，定期为游客演出畲族风情节目。加快文化礼堂全覆盖工程建设，少数民族户籍人口500人以上的民族村建成具有一定民族特色的文化礼堂，偏远山区的民族村通过联建共建等模式建设文化礼堂，重点推进青街睦元村文化礼堂、王神洞村畲族风情园，彰显少数民族文化魅力。重视民族地区中小学校和民族学校的民族文化体育工作，支持平阳县武术学校建设省级少数民族传统体育训练基地。到2025年，民族村村级少数民族文化展示馆达到8个。</w:t>
      </w:r>
    </w:p>
    <w:p>
      <w:pPr>
        <w:pStyle w:val="3"/>
        <w:keepNext/>
        <w:keepLines/>
        <w:pageBreakBefore w:val="0"/>
        <w:widowControl w:val="0"/>
        <w:numPr>
          <w:ilvl w:val="1"/>
          <w:numId w:val="1"/>
        </w:numPr>
        <w:kinsoku/>
        <w:wordWrap/>
        <w:overflowPunct/>
        <w:topLinePunct w:val="0"/>
        <w:autoSpaceDE/>
        <w:autoSpaceDN/>
        <w:bidi w:val="0"/>
        <w:adjustRightInd/>
        <w:snapToGrid/>
        <w:spacing w:before="0" w:after="0" w:line="560" w:lineRule="exact"/>
        <w:ind w:left="567" w:firstLine="0"/>
        <w:textAlignment w:val="auto"/>
        <w:rPr>
          <w:rFonts w:hint="default" w:ascii="Times New Roman" w:hAnsi="Times New Roman" w:cs="Times New Roman"/>
          <w:b w:val="0"/>
          <w:bCs/>
          <w:color w:val="auto"/>
        </w:rPr>
      </w:pPr>
      <w:bookmarkStart w:id="37" w:name="_Toc71629985"/>
      <w:r>
        <w:rPr>
          <w:rFonts w:hint="default" w:ascii="Times New Roman" w:hAnsi="Times New Roman" w:cs="Times New Roman"/>
          <w:b w:val="0"/>
          <w:bCs/>
          <w:color w:val="auto"/>
        </w:rPr>
        <w:t>培育民族特色村寨</w:t>
      </w:r>
      <w:bookmarkEnd w:id="3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加强少数民族特色村寨保护与发展，重点保护与修缮一批少数民族特色村寨和少数民族特色小镇。加强少数民族特色民居保护与修缮，保护营造技法、建造技艺和传统建筑风格，保持与自然生态相协调、与民族文化相适应的村镇风貌。大力保护具有重要历史文化价值的古街道、文化街区、古建筑群，推进少数民族特色民居修缮，旧民居改造注重保持民族传统建筑风格，新民居设计建设尽量融入民族建筑风格和文化符号，体现民族特色。“十四五”期间，重点推进青街畲族乡美丽城镇、5A级畲乡景区、5A级特色旅游小镇建设，推进青街镇九岱村、王神洞村、南朱山村、顺溪镇溪南村国家级少数民族特色村寨创建工作，形成“一村一品”特色村寨品牌。到2025年，高品质打造一批“未来乡村”，累计创建国家级少数民族特色村寨6个。</w:t>
      </w:r>
    </w:p>
    <w:p>
      <w:pPr>
        <w:pageBreakBefore w:val="0"/>
        <w:widowControl/>
        <w:numPr>
          <w:ilvl w:val="1"/>
          <w:numId w:val="1"/>
        </w:numPr>
        <w:kinsoku/>
        <w:wordWrap/>
        <w:overflowPunct/>
        <w:topLinePunct w:val="0"/>
        <w:autoSpaceDE/>
        <w:autoSpaceDN/>
        <w:bidi w:val="0"/>
        <w:adjustRightInd/>
        <w:snapToGrid/>
        <w:spacing w:line="560" w:lineRule="exact"/>
        <w:ind w:left="567" w:leftChars="0" w:firstLine="0" w:firstLineChars="0"/>
        <w:jc w:val="left"/>
        <w:textAlignment w:val="auto"/>
        <w:rPr>
          <w:rFonts w:hint="default" w:ascii="Times New Roman" w:hAnsi="Times New Roman" w:eastAsia="黑体" w:cs="Times New Roman"/>
          <w:b w:val="0"/>
          <w:bCs/>
          <w:color w:val="auto"/>
          <w:sz w:val="32"/>
          <w:szCs w:val="32"/>
        </w:rPr>
      </w:pPr>
      <w:bookmarkStart w:id="38" w:name="_Toc71629986"/>
      <w:r>
        <w:rPr>
          <w:rFonts w:hint="default" w:ascii="Times New Roman" w:hAnsi="Times New Roman" w:eastAsia="黑体" w:cs="Times New Roman"/>
          <w:b w:val="0"/>
          <w:bCs/>
          <w:color w:val="auto"/>
          <w:sz w:val="32"/>
          <w:szCs w:val="32"/>
        </w:rPr>
        <w:t>加强城市民族工作</w:t>
      </w:r>
      <w:bookmarkEnd w:id="38"/>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扎实推进城市民族工作进机关、进企业、进社区、进乡镇、进学校、进寺庙“六进”示范点创建活动，搭建城市民族工作“网格化”框架，培育一批涵盖社区、学校、企业等各领域各具特色的城市民族工作示范典型。鼓励少数民族群众积极参与，培育若干个少数民族服务公益社团，涵盖法律援助、文化活动、培训教育等多个领域，多种多样的公益活动蓬勃开展起来。深入开展以“发展微组织、开辟微窗口、建立微热线、打造微平台”为主要内容的城市民族工作模式，推动民族工作向专业化方向发展，促进各民族的交流交往交融，推动城市民族工作由被动参与向共建共享转变。切实加强对城市少数民族的服务与管理，大力开展民族宣传工作，建立城市民族问题预警机制。</w:t>
      </w:r>
    </w:p>
    <w:p>
      <w:pPr>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br w:type="page"/>
      </w:r>
    </w:p>
    <w:p>
      <w:pPr>
        <w:pStyle w:val="2"/>
        <w:numPr>
          <w:ilvl w:val="0"/>
          <w:numId w:val="1"/>
        </w:numPr>
        <w:spacing w:beforeLines="50" w:afterLines="50"/>
        <w:jc w:val="center"/>
        <w:rPr>
          <w:rFonts w:hint="default" w:ascii="Times New Roman" w:hAnsi="Times New Roman" w:eastAsia="方正小标宋简体" w:cs="Times New Roman"/>
          <w:b w:val="0"/>
          <w:bCs/>
          <w:color w:val="auto"/>
          <w:sz w:val="36"/>
          <w:szCs w:val="36"/>
        </w:rPr>
      </w:pPr>
      <w:r>
        <w:rPr>
          <w:rFonts w:hint="default" w:ascii="Times New Roman" w:hAnsi="Times New Roman" w:eastAsia="方正小标宋简体" w:cs="Times New Roman"/>
          <w:b w:val="0"/>
          <w:bCs/>
          <w:color w:val="auto"/>
          <w:sz w:val="36"/>
          <w:szCs w:val="36"/>
        </w:rPr>
        <w:t xml:space="preserve"> </w:t>
      </w:r>
      <w:bookmarkStart w:id="39" w:name="_Toc71629987"/>
      <w:r>
        <w:rPr>
          <w:rFonts w:hint="default" w:ascii="Times New Roman" w:hAnsi="Times New Roman" w:eastAsia="方正小标宋简体" w:cs="Times New Roman"/>
          <w:b w:val="0"/>
          <w:bCs/>
          <w:color w:val="auto"/>
          <w:sz w:val="36"/>
          <w:szCs w:val="36"/>
        </w:rPr>
        <w:t>人才引育，激发民族团结进步发展能力</w:t>
      </w:r>
      <w:bookmarkEnd w:id="39"/>
    </w:p>
    <w:p>
      <w:pPr>
        <w:pStyle w:val="3"/>
        <w:keepNext/>
        <w:keepLines/>
        <w:pageBreakBefore w:val="0"/>
        <w:widowControl w:val="0"/>
        <w:numPr>
          <w:ilvl w:val="1"/>
          <w:numId w:val="1"/>
        </w:numPr>
        <w:kinsoku/>
        <w:wordWrap/>
        <w:overflowPunct/>
        <w:topLinePunct w:val="0"/>
        <w:autoSpaceDE/>
        <w:autoSpaceDN/>
        <w:bidi w:val="0"/>
        <w:adjustRightInd/>
        <w:snapToGrid/>
        <w:spacing w:before="0" w:after="0" w:line="560" w:lineRule="exact"/>
        <w:ind w:left="567" w:firstLine="0"/>
        <w:textAlignment w:val="auto"/>
        <w:rPr>
          <w:rFonts w:hint="default" w:ascii="Times New Roman" w:hAnsi="Times New Roman" w:cs="Times New Roman"/>
          <w:color w:val="auto"/>
        </w:rPr>
      </w:pPr>
      <w:bookmarkStart w:id="40" w:name="_Toc71629988"/>
      <w:r>
        <w:rPr>
          <w:rFonts w:hint="default" w:ascii="Times New Roman" w:hAnsi="Times New Roman" w:cs="Times New Roman"/>
          <w:b w:val="0"/>
          <w:bCs/>
          <w:color w:val="auto"/>
        </w:rPr>
        <w:t>聚力培育民族干部</w:t>
      </w:r>
      <w:bookmarkEnd w:id="40"/>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发挥党总揽全局、协调各方的领导核心作用，全面加强和改进民族地区党的建设，建设一支政治上强、能力上强、作风上强的高素质干部队伍，为少数民族地区社会稳定和长治久安提供坚强政治保证。</w:t>
      </w:r>
      <w:r>
        <w:rPr>
          <w:rFonts w:hint="default" w:ascii="Times New Roman" w:hAnsi="Times New Roman" w:eastAsia="仿宋_GB2312" w:cs="Times New Roman"/>
          <w:b/>
          <w:color w:val="auto"/>
          <w:sz w:val="32"/>
          <w:szCs w:val="32"/>
        </w:rPr>
        <w:t>一是优化队伍结构。</w:t>
      </w:r>
      <w:r>
        <w:rPr>
          <w:rFonts w:hint="default" w:ascii="Times New Roman" w:hAnsi="Times New Roman" w:eastAsia="仿宋_GB2312" w:cs="Times New Roman"/>
          <w:color w:val="auto"/>
          <w:sz w:val="32"/>
          <w:szCs w:val="32"/>
        </w:rPr>
        <w:t>合理调整和优化单位领导班子民汉干部比例和结构，推动在民族团结、稳定等方面工作的顺利开展。有计划地拓宽民族干部来源，重视经济管理人才队伍的培养。大胆选拔使用少数民族优秀中青年干部，增强与时俱进活力。</w:t>
      </w:r>
      <w:r>
        <w:rPr>
          <w:rFonts w:hint="default" w:ascii="Times New Roman" w:hAnsi="Times New Roman" w:eastAsia="仿宋_GB2312" w:cs="Times New Roman"/>
          <w:b/>
          <w:color w:val="auto"/>
          <w:sz w:val="32"/>
          <w:szCs w:val="32"/>
        </w:rPr>
        <w:t>二是精准选拔培养。</w:t>
      </w:r>
      <w:r>
        <w:rPr>
          <w:rFonts w:hint="default" w:ascii="Times New Roman" w:hAnsi="Times New Roman" w:eastAsia="仿宋_GB2312" w:cs="Times New Roman"/>
          <w:color w:val="auto"/>
          <w:sz w:val="32"/>
          <w:szCs w:val="32"/>
        </w:rPr>
        <w:t>始终以“四化”标准和德才兼备为原则，精心选拔综合素质较高、具有发展潜力的培养对象，并通过培训、技能鉴定、岗位锻炼等形式进行重点培养，进一步提高少数民族干部的政治、业务素质，对条件成熟的干部进行提拔任用。</w:t>
      </w:r>
      <w:r>
        <w:rPr>
          <w:rFonts w:hint="default" w:ascii="Times New Roman" w:hAnsi="Times New Roman" w:eastAsia="仿宋_GB2312" w:cs="Times New Roman"/>
          <w:b/>
          <w:color w:val="auto"/>
          <w:sz w:val="32"/>
          <w:szCs w:val="32"/>
        </w:rPr>
        <w:t>三是强化实践锻炼。</w:t>
      </w:r>
      <w:r>
        <w:rPr>
          <w:rFonts w:hint="default" w:ascii="Times New Roman" w:hAnsi="Times New Roman" w:eastAsia="仿宋_GB2312" w:cs="Times New Roman"/>
          <w:color w:val="auto"/>
          <w:sz w:val="32"/>
          <w:szCs w:val="32"/>
        </w:rPr>
        <w:t>建立对少数民族干部培养的长效机制，制定专项培养锻炼计划，有针对性地选派少数民族干部进行挂职锻炼，通过有意识地多层次、多岗位交流，使少数民族干部在实践中开阔视野，丰富阅历，提高工作能力。</w:t>
      </w:r>
    </w:p>
    <w:p>
      <w:pPr>
        <w:pStyle w:val="3"/>
        <w:keepNext/>
        <w:keepLines/>
        <w:pageBreakBefore w:val="0"/>
        <w:widowControl w:val="0"/>
        <w:numPr>
          <w:ilvl w:val="1"/>
          <w:numId w:val="1"/>
        </w:numPr>
        <w:kinsoku/>
        <w:wordWrap/>
        <w:overflowPunct/>
        <w:topLinePunct w:val="0"/>
        <w:autoSpaceDE/>
        <w:autoSpaceDN/>
        <w:bidi w:val="0"/>
        <w:adjustRightInd/>
        <w:snapToGrid/>
        <w:spacing w:before="0" w:after="0" w:line="560" w:lineRule="exact"/>
        <w:ind w:left="567" w:firstLine="0"/>
        <w:textAlignment w:val="auto"/>
        <w:rPr>
          <w:rFonts w:hint="default" w:ascii="Times New Roman" w:hAnsi="Times New Roman" w:cs="Times New Roman"/>
          <w:b w:val="0"/>
          <w:bCs/>
          <w:color w:val="auto"/>
        </w:rPr>
      </w:pPr>
      <w:bookmarkStart w:id="41" w:name="_Toc71629989"/>
      <w:r>
        <w:rPr>
          <w:rFonts w:hint="default" w:ascii="Times New Roman" w:hAnsi="Times New Roman" w:cs="Times New Roman"/>
          <w:b w:val="0"/>
          <w:bCs/>
          <w:color w:val="auto"/>
        </w:rPr>
        <w:t>特色引育民族人才</w:t>
      </w:r>
      <w:bookmarkEnd w:id="41"/>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发挥人才在推进民族地区高质量发展的第一资源作用，做好人才机制的长期性和连续性，实现人才资源效应最大化。</w:t>
      </w:r>
      <w:r>
        <w:rPr>
          <w:rFonts w:hint="default" w:ascii="Times New Roman" w:hAnsi="Times New Roman" w:eastAsia="仿宋_GB2312" w:cs="Times New Roman"/>
          <w:b/>
          <w:color w:val="auto"/>
          <w:sz w:val="32"/>
          <w:szCs w:val="32"/>
        </w:rPr>
        <w:t>一是做好人才选育。</w:t>
      </w:r>
      <w:r>
        <w:rPr>
          <w:rFonts w:hint="default" w:ascii="Times New Roman" w:hAnsi="Times New Roman" w:eastAsia="仿宋_GB2312" w:cs="Times New Roman"/>
          <w:color w:val="auto"/>
          <w:sz w:val="32"/>
          <w:szCs w:val="32"/>
        </w:rPr>
        <w:t>围绕平阳少数民族地区文化旅游、生态工业、特色农业等产业领域最急需、岗位最紧缺定向引进人才，结合“高使用性”和“可共享性”特色，着力引进高层次人才。加大柔性引才力度，打造人才驿站等平台，进驻专家、科研机构等资源，开展农业技术培训、技术咨询服务及结对帮扶等一系列活动。</w:t>
      </w:r>
      <w:r>
        <w:rPr>
          <w:rFonts w:hint="default" w:ascii="Times New Roman" w:hAnsi="Times New Roman" w:eastAsia="仿宋_GB2312" w:cs="Times New Roman"/>
          <w:b/>
          <w:color w:val="auto"/>
          <w:sz w:val="32"/>
          <w:szCs w:val="32"/>
        </w:rPr>
        <w:t>二是加快本土人才培养。</w:t>
      </w:r>
      <w:r>
        <w:rPr>
          <w:rFonts w:hint="default" w:ascii="Times New Roman" w:hAnsi="Times New Roman" w:eastAsia="仿宋_GB2312" w:cs="Times New Roman"/>
          <w:color w:val="auto"/>
          <w:sz w:val="32"/>
          <w:szCs w:val="32"/>
        </w:rPr>
        <w:t>定期开展少数民族乡村人才普查工作，排查人才返乡大数据，树立少数民族“4050”劳动力人群、大学生资源等，建立人才库。结合脱贫攻坚和产业发展需要，常态化举办“农村致富大讲堂”等活动，开展茶叶种植等专业技能培训活动，推动本土人才存量快速增长。引导由本地大学生、企业家构成的“新农人”返乡创业，为家乡的经济发展注入新的活力。</w:t>
      </w:r>
      <w:r>
        <w:rPr>
          <w:rFonts w:hint="default" w:ascii="Times New Roman" w:hAnsi="Times New Roman" w:eastAsia="仿宋_GB2312" w:cs="Times New Roman"/>
          <w:b/>
          <w:color w:val="auto"/>
          <w:sz w:val="32"/>
          <w:szCs w:val="32"/>
        </w:rPr>
        <w:t>三是强化典型宣传。</w:t>
      </w:r>
      <w:r>
        <w:rPr>
          <w:rFonts w:hint="default" w:ascii="Times New Roman" w:hAnsi="Times New Roman" w:eastAsia="仿宋_GB2312" w:cs="Times New Roman"/>
          <w:color w:val="auto"/>
          <w:sz w:val="32"/>
          <w:szCs w:val="32"/>
        </w:rPr>
        <w:t>加大对少数民族乡村实用人才和各类人才精英的宣传报道，通过树立一个典型带动一片的机制，充分发挥少数民族乡村实用技能人才的示范引领作用，辐射带动更多的农民向实用人才、实用人才向优秀实用人才成长发展，提升人才队伍的整体实力。</w:t>
      </w:r>
    </w:p>
    <w:p>
      <w:pPr>
        <w:pStyle w:val="3"/>
        <w:keepNext/>
        <w:keepLines/>
        <w:pageBreakBefore w:val="0"/>
        <w:widowControl w:val="0"/>
        <w:numPr>
          <w:ilvl w:val="1"/>
          <w:numId w:val="1"/>
        </w:numPr>
        <w:kinsoku/>
        <w:wordWrap/>
        <w:overflowPunct/>
        <w:topLinePunct w:val="0"/>
        <w:autoSpaceDE/>
        <w:autoSpaceDN/>
        <w:bidi w:val="0"/>
        <w:adjustRightInd/>
        <w:snapToGrid/>
        <w:spacing w:before="0" w:after="0" w:line="560" w:lineRule="exact"/>
        <w:ind w:left="567" w:firstLine="0"/>
        <w:textAlignment w:val="auto"/>
        <w:rPr>
          <w:rFonts w:hint="default" w:ascii="Times New Roman" w:hAnsi="Times New Roman" w:cs="Times New Roman"/>
          <w:b w:val="0"/>
          <w:bCs/>
          <w:color w:val="auto"/>
        </w:rPr>
      </w:pPr>
      <w:bookmarkStart w:id="42" w:name="_Toc71629990"/>
      <w:r>
        <w:rPr>
          <w:rFonts w:hint="default" w:ascii="Times New Roman" w:hAnsi="Times New Roman" w:cs="Times New Roman"/>
          <w:b w:val="0"/>
          <w:bCs/>
          <w:color w:val="auto"/>
        </w:rPr>
        <w:t>提升人才服务效能</w:t>
      </w:r>
      <w:bookmarkEnd w:id="42"/>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优化人才发展环境，提升人才创业创新平台和服务，用好用活人才资源，助推人才在经济社会健康发展中的效能。</w:t>
      </w:r>
      <w:r>
        <w:rPr>
          <w:rFonts w:hint="default" w:ascii="Times New Roman" w:hAnsi="Times New Roman" w:eastAsia="仿宋_GB2312" w:cs="Times New Roman"/>
          <w:b/>
          <w:color w:val="auto"/>
          <w:sz w:val="32"/>
          <w:szCs w:val="32"/>
        </w:rPr>
        <w:t>一是优化创业创新环境。</w:t>
      </w:r>
      <w:r>
        <w:rPr>
          <w:rFonts w:hint="default" w:ascii="Times New Roman" w:hAnsi="Times New Roman" w:eastAsia="仿宋_GB2312" w:cs="Times New Roman"/>
          <w:color w:val="auto"/>
          <w:sz w:val="32"/>
          <w:szCs w:val="32"/>
        </w:rPr>
        <w:t>打通优秀人才绿色通道，通过建立“实践实战、担当尽责、提升效能、关爱关怀”的人才管理模式，营造出鼓励干事创业、鼓励创新创造、鼓励敢闯敢试的良好氛围。持续开展人才慰问关爱活动、人才交流研讨会和人才创业基地走访调研等活动，无缝对接人才信息、工作诉求等。</w:t>
      </w:r>
      <w:r>
        <w:rPr>
          <w:rFonts w:hint="default" w:ascii="Times New Roman" w:hAnsi="Times New Roman" w:eastAsia="仿宋_GB2312" w:cs="Times New Roman"/>
          <w:b/>
          <w:color w:val="auto"/>
          <w:sz w:val="32"/>
          <w:szCs w:val="32"/>
        </w:rPr>
        <w:t>二是优化服务环境。</w:t>
      </w:r>
      <w:r>
        <w:rPr>
          <w:rFonts w:hint="default" w:ascii="Times New Roman" w:hAnsi="Times New Roman" w:eastAsia="仿宋_GB2312" w:cs="Times New Roman"/>
          <w:color w:val="auto"/>
          <w:sz w:val="32"/>
          <w:szCs w:val="32"/>
        </w:rPr>
        <w:t>借力乡贤等平台，以及人才联谊会等系列活动，实现与人才的沟通联络“零距离”，全力深化“最多跑一次”改革，代办人才审批项目，为人才提供暖心、贴心、尽心的优质服务，确保全程服务零差错无障碍。三</w:t>
      </w:r>
      <w:r>
        <w:rPr>
          <w:rFonts w:hint="default" w:ascii="Times New Roman" w:hAnsi="Times New Roman" w:eastAsia="仿宋_GB2312" w:cs="Times New Roman"/>
          <w:b/>
          <w:color w:val="auto"/>
          <w:sz w:val="32"/>
          <w:szCs w:val="32"/>
        </w:rPr>
        <w:t>是完善人才扶持机制。</w:t>
      </w:r>
      <w:r>
        <w:rPr>
          <w:rFonts w:hint="default" w:ascii="Times New Roman" w:hAnsi="Times New Roman" w:eastAsia="仿宋_GB2312" w:cs="Times New Roman"/>
          <w:color w:val="auto"/>
          <w:sz w:val="32"/>
          <w:szCs w:val="32"/>
        </w:rPr>
        <w:t>通过逐步完善人才的选拔、考核、评价、激励等机制，合理使用人才。在调配青街畲族乡党政领导班子时,按有关规定配备少数民族领导干部；少数民族户籍人口较多的乡镇领导班子中,应当配备少数民族领导干部；县级人力社保部门在招录民族乡工作人员时，要安排一定比例的职位用于本地区人口较多的少数民族公民，并依照有关规定予以适当照顾；加强民族村两委班子建设,民族村村民委员会中应当有少数民族公民；给予科技、教育、卫生等领域少数民族人才在职称评定、晋升、评先等方面在同等条件下优先安排。</w:t>
      </w:r>
    </w:p>
    <w:p>
      <w:pPr>
        <w:widowControl/>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br w:type="page"/>
      </w:r>
    </w:p>
    <w:p>
      <w:pPr>
        <w:pStyle w:val="2"/>
        <w:numPr>
          <w:ilvl w:val="0"/>
          <w:numId w:val="1"/>
        </w:numPr>
        <w:spacing w:beforeLines="50" w:afterLines="50"/>
        <w:jc w:val="center"/>
        <w:rPr>
          <w:rFonts w:hint="default" w:ascii="Times New Roman" w:hAnsi="Times New Roman" w:eastAsia="黑体" w:cs="Times New Roman"/>
          <w:color w:val="auto"/>
          <w:sz w:val="36"/>
          <w:szCs w:val="36"/>
        </w:rPr>
      </w:pPr>
      <w:r>
        <w:rPr>
          <w:rFonts w:hint="default" w:ascii="Times New Roman" w:hAnsi="Times New Roman" w:eastAsia="黑体" w:cs="Times New Roman"/>
          <w:color w:val="auto"/>
          <w:sz w:val="36"/>
          <w:szCs w:val="36"/>
        </w:rPr>
        <w:t xml:space="preserve"> </w:t>
      </w:r>
      <w:bookmarkStart w:id="43" w:name="_Toc71629991"/>
      <w:r>
        <w:rPr>
          <w:rFonts w:hint="default" w:ascii="Times New Roman" w:hAnsi="Times New Roman" w:eastAsia="方正小标宋简体" w:cs="Times New Roman"/>
          <w:b w:val="0"/>
          <w:bCs/>
          <w:color w:val="auto"/>
          <w:sz w:val="36"/>
          <w:szCs w:val="36"/>
        </w:rPr>
        <w:t>治理现代，打造民族团结进步治理典范</w:t>
      </w:r>
      <w:bookmarkEnd w:id="43"/>
    </w:p>
    <w:p>
      <w:pPr>
        <w:pStyle w:val="3"/>
        <w:keepNext/>
        <w:keepLines/>
        <w:pageBreakBefore w:val="0"/>
        <w:widowControl w:val="0"/>
        <w:numPr>
          <w:ilvl w:val="1"/>
          <w:numId w:val="1"/>
        </w:numPr>
        <w:kinsoku/>
        <w:wordWrap/>
        <w:overflowPunct/>
        <w:topLinePunct w:val="0"/>
        <w:autoSpaceDE/>
        <w:autoSpaceDN/>
        <w:bidi w:val="0"/>
        <w:adjustRightInd/>
        <w:snapToGrid/>
        <w:spacing w:before="0" w:after="0" w:line="560" w:lineRule="exact"/>
        <w:ind w:left="567" w:firstLine="0"/>
        <w:textAlignment w:val="auto"/>
        <w:rPr>
          <w:rFonts w:hint="default" w:ascii="Times New Roman" w:hAnsi="Times New Roman" w:cs="Times New Roman"/>
          <w:b w:val="0"/>
          <w:bCs/>
          <w:color w:val="auto"/>
        </w:rPr>
      </w:pPr>
      <w:bookmarkStart w:id="44" w:name="_Toc71629992"/>
      <w:r>
        <w:rPr>
          <w:rFonts w:hint="default" w:ascii="Times New Roman" w:hAnsi="Times New Roman" w:cs="Times New Roman"/>
          <w:b w:val="0"/>
          <w:bCs/>
          <w:color w:val="auto"/>
        </w:rPr>
        <w:t>铸牢中华民族共同体意识</w:t>
      </w:r>
      <w:bookmarkEnd w:id="44"/>
    </w:p>
    <w:p>
      <w:pPr>
        <w:pStyle w:val="14"/>
        <w:pageBreakBefore w:val="0"/>
        <w:kinsoku/>
        <w:wordWrap/>
        <w:overflowPunct/>
        <w:topLinePunct w:val="0"/>
        <w:autoSpaceDE/>
        <w:autoSpaceDN/>
        <w:bidi w:val="0"/>
        <w:spacing w:line="560" w:lineRule="exact"/>
        <w:ind w:lef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全面开展“石榴籽工程”推进民族团结进步事业，把各民族的中华民族共同体意识、厚植对中华民族的认同感作为一项根本性、战略性任务抓紧抓好，不断铸牢各族群众中华民族共同体意识。积极主动与国家级铸牢中华民族共同体意识研究基地——浙江大学、丽水学院交流合作，利用其平台和资源，共推中华民族共同体相关重大课题研究、理论研究。认真落实《关于全面深入持久开展民族团结进步创建工作铸牢中华民族共同体意识的意见》精神，坚持以社会主义核心价值观为引领，加大少数民族基层群众思想政治工作力度。大力弘扬“创造、奋斗、团结、梦想”的伟大民族精神，结合红色文化等资源，挖掘时代价值，构筑各民族共有精神家园。引导少数民族群众，特别是青少年、党员干部，牢固树立中华民族共同体意识，树立正确的国家观、民族观、宗教观、历史观、文化观。</w:t>
      </w:r>
    </w:p>
    <w:p>
      <w:pPr>
        <w:pStyle w:val="3"/>
        <w:keepNext/>
        <w:keepLines/>
        <w:pageBreakBefore w:val="0"/>
        <w:widowControl w:val="0"/>
        <w:numPr>
          <w:ilvl w:val="1"/>
          <w:numId w:val="1"/>
        </w:numPr>
        <w:kinsoku/>
        <w:wordWrap/>
        <w:overflowPunct/>
        <w:topLinePunct w:val="0"/>
        <w:autoSpaceDE/>
        <w:autoSpaceDN/>
        <w:bidi w:val="0"/>
        <w:adjustRightInd/>
        <w:snapToGrid/>
        <w:spacing w:before="0" w:after="0" w:line="560" w:lineRule="exact"/>
        <w:ind w:left="567" w:firstLine="0"/>
        <w:textAlignment w:val="auto"/>
        <w:rPr>
          <w:rFonts w:hint="default" w:ascii="Times New Roman" w:hAnsi="Times New Roman" w:cs="Times New Roman"/>
          <w:b w:val="0"/>
          <w:bCs/>
          <w:color w:val="auto"/>
        </w:rPr>
      </w:pPr>
      <w:bookmarkStart w:id="45" w:name="_Toc71629993"/>
      <w:r>
        <w:rPr>
          <w:rFonts w:hint="default" w:ascii="Times New Roman" w:hAnsi="Times New Roman" w:cs="Times New Roman"/>
          <w:b w:val="0"/>
          <w:bCs/>
          <w:color w:val="auto"/>
        </w:rPr>
        <w:t>加强民族基层党组织建设</w:t>
      </w:r>
      <w:bookmarkEnd w:id="45"/>
    </w:p>
    <w:p>
      <w:pPr>
        <w:pStyle w:val="13"/>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kern w:val="2"/>
          <w:sz w:val="32"/>
          <w:szCs w:val="32"/>
          <w:lang w:val="en-US" w:eastAsia="zh-CN" w:bidi="ar-SA"/>
        </w:rPr>
        <w:t>1. 铸牢民族基层党的领导。</w:t>
      </w:r>
      <w:r>
        <w:rPr>
          <w:rFonts w:hint="default" w:ascii="Times New Roman" w:hAnsi="Times New Roman" w:eastAsia="仿宋_GB2312" w:cs="Times New Roman"/>
          <w:color w:val="auto"/>
          <w:sz w:val="32"/>
          <w:szCs w:val="32"/>
        </w:rPr>
        <w:t>加强党的民族理论和民族政策学习，以铸牢中华民族共同体意识为主线做好各项工作，把少数民族干部群众的思想和行动统一到党中央决策部署上来。全面推进民族地区各领域基层党建工作，切实提高基层党组织维护稳定、促进发展的能力。严格落实全面从严治党的责任制度，坚决落实党委主体责任、“一把手”第一责任、班子成员“一岗双责”、纪委监督责任“四项责任”贯通协同、形成合力。推行党建工作“指标体系”和“6+X”指标设置模式，力争打造基础治理“一村一品，一领域一品牌”，全面推进“农村铁军队伍”建设。</w:t>
      </w:r>
    </w:p>
    <w:p>
      <w:pPr>
        <w:pStyle w:val="13"/>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kern w:val="2"/>
          <w:sz w:val="32"/>
          <w:szCs w:val="32"/>
          <w:lang w:val="en-US" w:eastAsia="zh-CN" w:bidi="ar-SA"/>
        </w:rPr>
        <w:t>2.提升基层党组织服务水平。</w:t>
      </w:r>
      <w:r>
        <w:rPr>
          <w:rFonts w:hint="default" w:ascii="Times New Roman" w:hAnsi="Times New Roman" w:eastAsia="仿宋_GB2312" w:cs="Times New Roman"/>
          <w:color w:val="auto"/>
          <w:sz w:val="32"/>
          <w:szCs w:val="32"/>
        </w:rPr>
        <w:t>要夯实基层基础，推动党政机关、企事业单位、民主党派、人民团体一起做好民族工作。坚持不断提高服务群众、维护稳定的能力和水平，围绕“跑一次是底线、一次不用跑是常态、跑多次是例外”目标，加快实现个人和企业全生命周期“一件事”全流程“最多跑一次”。建立“办事不出村、服务零距离”红色代办窗口，推进“互联网＋党建”。</w:t>
      </w:r>
    </w:p>
    <w:p>
      <w:pPr>
        <w:pStyle w:val="3"/>
        <w:keepNext/>
        <w:keepLines/>
        <w:pageBreakBefore w:val="0"/>
        <w:widowControl w:val="0"/>
        <w:numPr>
          <w:ilvl w:val="1"/>
          <w:numId w:val="1"/>
        </w:numPr>
        <w:kinsoku/>
        <w:wordWrap/>
        <w:overflowPunct/>
        <w:topLinePunct w:val="0"/>
        <w:autoSpaceDE/>
        <w:autoSpaceDN/>
        <w:bidi w:val="0"/>
        <w:adjustRightInd/>
        <w:snapToGrid/>
        <w:spacing w:before="0" w:after="0" w:line="560" w:lineRule="exact"/>
        <w:ind w:left="567" w:firstLine="0"/>
        <w:textAlignment w:val="auto"/>
        <w:rPr>
          <w:rFonts w:hint="default" w:ascii="Times New Roman" w:hAnsi="Times New Roman" w:cs="Times New Roman"/>
          <w:b w:val="0"/>
          <w:bCs/>
          <w:color w:val="auto"/>
        </w:rPr>
      </w:pPr>
      <w:bookmarkStart w:id="46" w:name="_Toc71629994"/>
      <w:r>
        <w:rPr>
          <w:rFonts w:hint="default" w:ascii="Times New Roman" w:hAnsi="Times New Roman" w:cs="Times New Roman"/>
          <w:b w:val="0"/>
          <w:bCs/>
          <w:color w:val="auto"/>
        </w:rPr>
        <w:t>推进民族事务治理现代化</w:t>
      </w:r>
      <w:bookmarkEnd w:id="46"/>
    </w:p>
    <w:p>
      <w:pPr>
        <w:pStyle w:val="14"/>
        <w:pageBreakBefore w:val="0"/>
        <w:kinsoku/>
        <w:wordWrap/>
        <w:overflowPunct/>
        <w:topLinePunct w:val="0"/>
        <w:autoSpaceDE/>
        <w:autoSpaceDN/>
        <w:bidi w:val="0"/>
        <w:spacing w:line="560" w:lineRule="exact"/>
        <w:ind w:left="0" w:firstLine="640" w:firstLineChars="200"/>
        <w:textAlignment w:val="auto"/>
        <w:rPr>
          <w:rFonts w:hint="default" w:ascii="Times New Roman" w:hAnsi="Times New Roman" w:cs="Times New Roman"/>
          <w:color w:val="auto"/>
        </w:rPr>
      </w:pPr>
      <w:r>
        <w:rPr>
          <w:rFonts w:hint="default" w:ascii="Times New Roman" w:hAnsi="Times New Roman" w:eastAsia="仿宋_GB2312" w:cs="Times New Roman"/>
          <w:color w:val="auto"/>
          <w:sz w:val="32"/>
          <w:szCs w:val="32"/>
        </w:rPr>
        <w:t>以数字化改革为契机，推进党建引领德治、法治、自治、智治“四治融合”，提升民族工作领域“整体智治”水平，实现善治为民，推动民族乡村治理体系和治理能力现代化，营造民族社会美丽新风气。加强少数民族流动人口服务管理工作，建立流出地和流入地对接机制，加强“一站式”综合服务平台建设，解决好少数民族流动人口的特殊困难和问题，推动少数民族流动人口在城镇落户。完善基层智慧治理模式，实现村级事务信息动态交互式管理，打造智慧村治。深化民族地区“最多跑一次”改革，推进“互联网+政务服务”政府数字化体系建设，推进政务信息系统整合。推进民族乡村数字基础设施建设，强化乡村事务管理和便民服务数字化水平。“十四五”期间，争取打造一个重点社区列入省城市民族工作数字化协同发展试点，建设3个省级善治示范村。</w:t>
      </w:r>
    </w:p>
    <w:p>
      <w:pPr>
        <w:pStyle w:val="3"/>
        <w:keepNext/>
        <w:keepLines/>
        <w:pageBreakBefore w:val="0"/>
        <w:widowControl w:val="0"/>
        <w:numPr>
          <w:ilvl w:val="1"/>
          <w:numId w:val="1"/>
        </w:numPr>
        <w:kinsoku/>
        <w:wordWrap/>
        <w:overflowPunct/>
        <w:topLinePunct w:val="0"/>
        <w:autoSpaceDE/>
        <w:autoSpaceDN/>
        <w:bidi w:val="0"/>
        <w:adjustRightInd/>
        <w:snapToGrid/>
        <w:spacing w:before="0" w:after="0" w:line="560" w:lineRule="exact"/>
        <w:ind w:left="567" w:firstLine="0"/>
        <w:textAlignment w:val="auto"/>
        <w:rPr>
          <w:rFonts w:hint="default" w:ascii="Times New Roman" w:hAnsi="Times New Roman" w:cs="Times New Roman"/>
          <w:b w:val="0"/>
          <w:bCs/>
          <w:color w:val="auto"/>
        </w:rPr>
      </w:pPr>
      <w:bookmarkStart w:id="47" w:name="_Toc71629995"/>
      <w:r>
        <w:rPr>
          <w:rFonts w:hint="default" w:ascii="Times New Roman" w:hAnsi="Times New Roman" w:cs="Times New Roman"/>
          <w:b w:val="0"/>
          <w:bCs/>
          <w:color w:val="auto"/>
        </w:rPr>
        <w:t>加强民族团结进步创建工作</w:t>
      </w:r>
      <w:bookmarkEnd w:id="47"/>
    </w:p>
    <w:p>
      <w:pPr>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kern w:val="2"/>
          <w:sz w:val="32"/>
          <w:szCs w:val="32"/>
          <w:lang w:val="en-US" w:eastAsia="zh-CN" w:bidi="ar-SA"/>
        </w:rPr>
        <w:t>1.推进全国民族团结进步示范县创建。</w:t>
      </w:r>
      <w:r>
        <w:rPr>
          <w:rFonts w:hint="default" w:ascii="Times New Roman" w:hAnsi="Times New Roman" w:eastAsia="仿宋_GB2312" w:cs="Times New Roman"/>
          <w:color w:val="auto"/>
          <w:sz w:val="32"/>
          <w:szCs w:val="32"/>
        </w:rPr>
        <w:t>深化新阶段民族团结进步创建工作，加强各类民族团结进步示范区（单位）建设，开展形式多样的民族团结进步创建活动。常态化推进民族团结进步创建工作进机关、进企业、进乡镇、进社区、进学校、进宗教活动场所，拓展参与类型、参与范围。推动跨区域、跨部门、跨行业的共建联创和协同创建，打造一批示范带、示范长廊、示范群，形成以点串线、以线连片、以片扩面的创建格局。到2025年，民族团结进步工作规范性微组织达到20个，民族团结进步工作规范性微窗口达到15个。</w:t>
      </w:r>
    </w:p>
    <w:p>
      <w:pPr>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kern w:val="2"/>
          <w:sz w:val="32"/>
          <w:szCs w:val="32"/>
          <w:lang w:val="en-US" w:eastAsia="zh-CN" w:bidi="ar-SA"/>
        </w:rPr>
        <w:t>2.加强民族团结进步宣传教育。</w:t>
      </w:r>
      <w:r>
        <w:rPr>
          <w:rFonts w:hint="default" w:ascii="Times New Roman" w:hAnsi="Times New Roman" w:eastAsia="仿宋_GB2312" w:cs="Times New Roman"/>
          <w:color w:val="auto"/>
          <w:sz w:val="32"/>
          <w:szCs w:val="32"/>
        </w:rPr>
        <w:t>健全民族团结教育常态化机制，把民族团结教育纳入国民教育、干部教育、社会教育体系，推进民族理论、民族政策、民族知识进教材、进课堂、进头脑。推进民族团结思想理论阵地、工作平台及学科建设，加强民族团结教师培训和增加民族团结进步公共产品有效供给。加快推进水头镇的同心主题公园、萧江镇的“石榴籽”民族广场建设。健全民族团结进步先进模范表彰工作机制，大力培育、树立和宣传各级各类先进典型。加强民族团结进步教育基地建设，大力开展群众性主题实践教育活动，举办民族团结进步创建活动成果展。加强民族团结教育领域意识形态安全建设。</w:t>
      </w:r>
    </w:p>
    <w:p>
      <w:pPr>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kern w:val="2"/>
          <w:sz w:val="32"/>
          <w:szCs w:val="32"/>
          <w:lang w:val="en-US" w:eastAsia="zh-CN" w:bidi="ar-SA"/>
        </w:rPr>
        <w:t>3.完善民族团结进步创建支撑体系。</w:t>
      </w:r>
      <w:r>
        <w:rPr>
          <w:rFonts w:hint="default" w:ascii="Times New Roman" w:hAnsi="Times New Roman" w:eastAsia="仿宋_GB2312" w:cs="Times New Roman"/>
          <w:color w:val="auto"/>
          <w:sz w:val="32"/>
          <w:szCs w:val="32"/>
        </w:rPr>
        <w:t>建立健全党政组织领导和部门协同机制、考核测评和验收机制、评审表彰和退出机制，推进民族团结进步创建工作精准化、规范化、社会化、法制化、常态化。强化民族团结进步创建工作责任考核，建立民族团结进步创建工作督查制度。建立健全促进民族团结进步创建的政策、法规和工作体系。加强民族团结进步创建经费保障。</w:t>
      </w:r>
    </w:p>
    <w:p>
      <w:pPr>
        <w:widowControl/>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br w:type="page"/>
      </w:r>
    </w:p>
    <w:p>
      <w:pPr>
        <w:pStyle w:val="2"/>
        <w:numPr>
          <w:ilvl w:val="0"/>
          <w:numId w:val="1"/>
        </w:numPr>
        <w:spacing w:beforeLines="50" w:afterLines="50"/>
        <w:jc w:val="center"/>
        <w:rPr>
          <w:rFonts w:hint="default" w:ascii="Times New Roman" w:hAnsi="Times New Roman" w:eastAsia="方正小标宋简体" w:cs="Times New Roman"/>
          <w:b w:val="0"/>
          <w:bCs/>
          <w:color w:val="auto"/>
          <w:sz w:val="36"/>
          <w:szCs w:val="36"/>
        </w:rPr>
      </w:pPr>
      <w:r>
        <w:rPr>
          <w:rFonts w:hint="default" w:ascii="Times New Roman" w:hAnsi="Times New Roman" w:eastAsia="方正小标宋简体" w:cs="Times New Roman"/>
          <w:b w:val="0"/>
          <w:bCs/>
          <w:color w:val="auto"/>
          <w:sz w:val="36"/>
          <w:szCs w:val="36"/>
        </w:rPr>
        <w:t xml:space="preserve"> </w:t>
      </w:r>
      <w:bookmarkStart w:id="48" w:name="_Toc71629996"/>
      <w:r>
        <w:rPr>
          <w:rFonts w:hint="default" w:ascii="Times New Roman" w:hAnsi="Times New Roman" w:eastAsia="方正小标宋简体" w:cs="Times New Roman"/>
          <w:b w:val="0"/>
          <w:bCs/>
          <w:color w:val="auto"/>
          <w:sz w:val="36"/>
          <w:szCs w:val="36"/>
        </w:rPr>
        <w:t>生态文明，构建民族团结进步大花园新样板</w:t>
      </w:r>
      <w:bookmarkEnd w:id="48"/>
    </w:p>
    <w:p>
      <w:pPr>
        <w:pStyle w:val="3"/>
        <w:keepNext/>
        <w:keepLines/>
        <w:pageBreakBefore w:val="0"/>
        <w:widowControl w:val="0"/>
        <w:numPr>
          <w:ilvl w:val="1"/>
          <w:numId w:val="1"/>
        </w:numPr>
        <w:kinsoku/>
        <w:wordWrap/>
        <w:overflowPunct/>
        <w:topLinePunct w:val="0"/>
        <w:autoSpaceDE/>
        <w:autoSpaceDN/>
        <w:bidi w:val="0"/>
        <w:adjustRightInd/>
        <w:snapToGrid/>
        <w:spacing w:before="0" w:after="0" w:line="560" w:lineRule="exact"/>
        <w:ind w:left="567" w:firstLine="0"/>
        <w:textAlignment w:val="auto"/>
        <w:rPr>
          <w:rFonts w:hint="default" w:ascii="Times New Roman" w:hAnsi="Times New Roman" w:cs="Times New Roman"/>
          <w:b w:val="0"/>
          <w:bCs/>
          <w:color w:val="auto"/>
        </w:rPr>
      </w:pPr>
      <w:bookmarkStart w:id="49" w:name="_Toc71629997"/>
      <w:r>
        <w:rPr>
          <w:rFonts w:hint="default" w:ascii="Times New Roman" w:hAnsi="Times New Roman" w:cs="Times New Roman"/>
          <w:b w:val="0"/>
          <w:bCs/>
          <w:color w:val="auto"/>
        </w:rPr>
        <w:t>强化国土空间治理</w:t>
      </w:r>
      <w:bookmarkEnd w:id="49"/>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高质量衔接《平阳国土空间总体规划（2020-2035）》编制工作，配合做好民族地区国土空间治理现代化工作，科学合理布局城镇、农业和生态空间。加强民族地区空间向民族乡镇和少数民族集聚区集中，增强核心资源承载力。优化调整民族地区农业产业布局，保障生态高效农业和乡村旅游空间，引导少数民族人口向中心村、特色村集聚。严格执行生态保护红线管控要求，对民族地区涉及的饮用水源保护区、风景名胜区、自然保护区等红线区域实施分区管控。依照重点生态功能区、农产品主产业区和美丽乡村建设的标准要求，全域实施产业、项目准入负面清单，严禁不符合主体功能区的各类产业开发活动。有序推进天然林保护，全面停止天然林商业性采伐。加大生态公益林建设与保护力度。</w:t>
      </w:r>
    </w:p>
    <w:p>
      <w:pPr>
        <w:pStyle w:val="3"/>
        <w:keepNext/>
        <w:keepLines/>
        <w:pageBreakBefore w:val="0"/>
        <w:widowControl w:val="0"/>
        <w:numPr>
          <w:ilvl w:val="1"/>
          <w:numId w:val="1"/>
        </w:numPr>
        <w:kinsoku/>
        <w:wordWrap/>
        <w:overflowPunct/>
        <w:topLinePunct w:val="0"/>
        <w:autoSpaceDE/>
        <w:autoSpaceDN/>
        <w:bidi w:val="0"/>
        <w:adjustRightInd/>
        <w:snapToGrid/>
        <w:spacing w:before="0" w:after="0" w:line="560" w:lineRule="exact"/>
        <w:ind w:left="567" w:firstLine="0"/>
        <w:textAlignment w:val="auto"/>
        <w:rPr>
          <w:rFonts w:hint="default" w:ascii="Times New Roman" w:hAnsi="Times New Roman" w:cs="Times New Roman"/>
          <w:b w:val="0"/>
          <w:bCs/>
          <w:color w:val="auto"/>
        </w:rPr>
      </w:pPr>
      <w:bookmarkStart w:id="50" w:name="_Toc71629998"/>
      <w:r>
        <w:rPr>
          <w:rFonts w:hint="default" w:ascii="Times New Roman" w:hAnsi="Times New Roman" w:cs="Times New Roman"/>
          <w:b w:val="0"/>
          <w:bCs/>
          <w:color w:val="auto"/>
        </w:rPr>
        <w:t>推进环境污染治理</w:t>
      </w:r>
      <w:bookmarkEnd w:id="50"/>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在民族地区实行严格的环境保护制度，形成政府、企业、公众共治的环境治理体系。继续落实大气污染防治行动计划，切实改善大气环境质量。实施水污染防治行动计划，严格饮用水水源地保护，全面推进涵养区、源头区等水源地环境整治，加强重点流域、区域水污染防治和湖泊生态环境保护，推进地下水污染防治。实施土壤污染防治行动计划，实施农用地分类管理和建设用地准入管理，加强农业面源污染防治，保障农业生产环境安全和人居环境安全。严格执行节能减排目标责任评价考核，建立生态保护奖惩机制。巩固深化小城镇环境综合整治成果，常态化开展“美丽河湖”“美丽田园”“美丽庭院”创建，全面开展“三边三化”环境整治，大力推进农村生活垃圾治理攻坚，农村生活垃圾分类覆盖面实现100%。</w:t>
      </w:r>
    </w:p>
    <w:p>
      <w:pPr>
        <w:pStyle w:val="3"/>
        <w:keepNext/>
        <w:keepLines/>
        <w:pageBreakBefore w:val="0"/>
        <w:widowControl w:val="0"/>
        <w:numPr>
          <w:ilvl w:val="1"/>
          <w:numId w:val="1"/>
        </w:numPr>
        <w:kinsoku/>
        <w:wordWrap/>
        <w:overflowPunct/>
        <w:topLinePunct w:val="0"/>
        <w:autoSpaceDE/>
        <w:autoSpaceDN/>
        <w:bidi w:val="0"/>
        <w:adjustRightInd/>
        <w:snapToGrid/>
        <w:spacing w:before="0" w:after="0" w:line="560" w:lineRule="exact"/>
        <w:ind w:left="567" w:firstLine="0"/>
        <w:textAlignment w:val="auto"/>
        <w:rPr>
          <w:rFonts w:hint="default" w:ascii="Times New Roman" w:hAnsi="Times New Roman" w:cs="Times New Roman"/>
          <w:b w:val="0"/>
          <w:bCs/>
          <w:color w:val="auto"/>
        </w:rPr>
      </w:pPr>
      <w:bookmarkStart w:id="51" w:name="_Toc71629999"/>
      <w:r>
        <w:rPr>
          <w:rFonts w:hint="default" w:ascii="Times New Roman" w:hAnsi="Times New Roman" w:cs="Times New Roman"/>
          <w:b w:val="0"/>
          <w:bCs/>
          <w:color w:val="auto"/>
        </w:rPr>
        <w:t>拓展生态价值转化途径</w:t>
      </w:r>
      <w:bookmarkEnd w:id="51"/>
    </w:p>
    <w:p>
      <w:pPr>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积极融入全省生态文明建设先行示范建设，引导民族地区更好践行“绿水青山就是金山银山”理念，打造以“山水林田湖是生命共同体”等生态价值理念为重点的美丽生态文化体系。深化和完善差异化的绩效评价指标，创新生态系统生产价值（GEP）实现机制，提高生态文明建设工作占民族地区党政实绩考核比例。加快建立自然资源资产产权制度，探索应用到领导干部自然资源资产离任审计、生态环境损害责任追究等工作。健全民族地区资源有偿使用和生态补偿机制，引导生态保护地区和生态受益地区通过财政转移支付、产业园区共建等形式实施补偿。支持青街畲族乡率先开展生态产品价值实现机制试点，培育生态产品交易市场。</w:t>
      </w:r>
    </w:p>
    <w:p>
      <w:pPr>
        <w:widowControl/>
        <w:spacing w:line="600" w:lineRule="exact"/>
        <w:ind w:firstLine="640" w:firstLineChars="200"/>
        <w:rPr>
          <w:rFonts w:hint="default" w:ascii="Times New Roman" w:hAnsi="Times New Roman" w:eastAsia="仿宋_GB2312" w:cs="Times New Roman"/>
          <w:color w:val="auto"/>
          <w:sz w:val="32"/>
          <w:szCs w:val="32"/>
        </w:rPr>
      </w:pPr>
    </w:p>
    <w:p>
      <w:pPr>
        <w:widowControl/>
        <w:spacing w:line="600" w:lineRule="exact"/>
        <w:ind w:firstLine="640" w:firstLineChars="200"/>
        <w:rPr>
          <w:rFonts w:hint="default" w:ascii="Times New Roman" w:hAnsi="Times New Roman" w:eastAsia="仿宋_GB2312" w:cs="Times New Roman"/>
          <w:color w:val="auto"/>
          <w:sz w:val="32"/>
          <w:szCs w:val="32"/>
        </w:rPr>
      </w:pPr>
    </w:p>
    <w:p>
      <w:pPr>
        <w:widowControl/>
        <w:spacing w:line="600" w:lineRule="exact"/>
        <w:ind w:firstLine="640" w:firstLineChars="200"/>
        <w:rPr>
          <w:rFonts w:hint="default" w:ascii="Times New Roman" w:hAnsi="Times New Roman" w:eastAsia="仿宋_GB2312" w:cs="Times New Roman"/>
          <w:color w:val="auto"/>
          <w:sz w:val="32"/>
          <w:szCs w:val="32"/>
        </w:rPr>
      </w:pPr>
    </w:p>
    <w:p>
      <w:pPr>
        <w:widowControl/>
        <w:spacing w:line="600" w:lineRule="exact"/>
        <w:ind w:firstLine="640" w:firstLineChars="200"/>
        <w:rPr>
          <w:rFonts w:hint="default" w:ascii="Times New Roman" w:hAnsi="Times New Roman" w:eastAsia="仿宋_GB2312" w:cs="Times New Roman"/>
          <w:color w:val="auto"/>
          <w:sz w:val="32"/>
          <w:szCs w:val="32"/>
        </w:rPr>
      </w:pPr>
    </w:p>
    <w:p>
      <w:pPr>
        <w:widowControl/>
        <w:spacing w:line="600" w:lineRule="exact"/>
        <w:ind w:firstLine="640" w:firstLineChars="200"/>
        <w:rPr>
          <w:rFonts w:hint="default" w:ascii="Times New Roman" w:hAnsi="Times New Roman" w:eastAsia="仿宋_GB2312" w:cs="Times New Roman"/>
          <w:color w:val="auto"/>
          <w:sz w:val="32"/>
          <w:szCs w:val="32"/>
        </w:rPr>
      </w:pPr>
    </w:p>
    <w:p>
      <w:pPr>
        <w:pStyle w:val="2"/>
        <w:numPr>
          <w:ilvl w:val="0"/>
          <w:numId w:val="1"/>
        </w:numPr>
        <w:spacing w:beforeLines="50" w:afterLines="50"/>
        <w:jc w:val="center"/>
        <w:rPr>
          <w:rFonts w:hint="default" w:ascii="Times New Roman" w:hAnsi="Times New Roman" w:eastAsia="黑体" w:cs="Times New Roman"/>
          <w:color w:val="auto"/>
          <w:sz w:val="36"/>
          <w:szCs w:val="36"/>
        </w:rPr>
      </w:pPr>
      <w:r>
        <w:rPr>
          <w:rFonts w:hint="default" w:ascii="Times New Roman" w:hAnsi="Times New Roman" w:eastAsia="黑体" w:cs="Times New Roman"/>
          <w:color w:val="auto"/>
          <w:sz w:val="36"/>
          <w:szCs w:val="36"/>
        </w:rPr>
        <w:t xml:space="preserve"> </w:t>
      </w:r>
      <w:bookmarkStart w:id="52" w:name="_Toc71630000"/>
      <w:r>
        <w:rPr>
          <w:rFonts w:hint="default" w:ascii="Times New Roman" w:hAnsi="Times New Roman" w:eastAsia="方正小标宋简体" w:cs="Times New Roman"/>
          <w:b w:val="0"/>
          <w:bCs/>
          <w:color w:val="auto"/>
          <w:sz w:val="36"/>
          <w:szCs w:val="36"/>
        </w:rPr>
        <w:t>保障措施</w:t>
      </w:r>
      <w:bookmarkEnd w:id="52"/>
    </w:p>
    <w:p>
      <w:pPr>
        <w:pStyle w:val="3"/>
        <w:keepNext/>
        <w:keepLines/>
        <w:pageBreakBefore w:val="0"/>
        <w:widowControl w:val="0"/>
        <w:numPr>
          <w:ilvl w:val="1"/>
          <w:numId w:val="1"/>
        </w:numPr>
        <w:kinsoku/>
        <w:wordWrap/>
        <w:overflowPunct/>
        <w:topLinePunct w:val="0"/>
        <w:autoSpaceDE/>
        <w:autoSpaceDN/>
        <w:bidi w:val="0"/>
        <w:adjustRightInd/>
        <w:snapToGrid/>
        <w:spacing w:before="0" w:after="0" w:line="560" w:lineRule="exact"/>
        <w:ind w:left="567" w:firstLine="0"/>
        <w:textAlignment w:val="auto"/>
        <w:rPr>
          <w:rFonts w:hint="default" w:ascii="Times New Roman" w:hAnsi="Times New Roman" w:cs="Times New Roman"/>
          <w:b w:val="0"/>
          <w:bCs/>
          <w:color w:val="auto"/>
        </w:rPr>
      </w:pPr>
      <w:bookmarkStart w:id="53" w:name="_Toc71630001"/>
      <w:r>
        <w:rPr>
          <w:rFonts w:hint="default" w:ascii="Times New Roman" w:hAnsi="Times New Roman" w:cs="Times New Roman"/>
          <w:b w:val="0"/>
          <w:bCs/>
          <w:color w:val="auto"/>
        </w:rPr>
        <w:t>强化规划组织实施</w:t>
      </w:r>
      <w:bookmarkEnd w:id="53"/>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坚持“共同团结进步、共同繁荣发展”的民族工作主题，将其纳入全县经济社会发展总体布局，同经济社会各项建设同部署、同督导、同落实。充分发挥政府职能部门在规划实施中的作用，建立规划实施领导机制和工作机制，定期研究部署推进规划实施工作，协调解决规划实施过程中的重大问题。充分调动各乡镇、各有关部门和单位积极性，形成党委、政府统一领导、民族工作部门综合协调、有关部门各司其职、社会各方面通力协作的工作格局。建立健对口帮扶机制，鼓励和支持企业、个人、社会组织参与少数民族事业发展。</w:t>
      </w:r>
    </w:p>
    <w:p>
      <w:pPr>
        <w:pStyle w:val="3"/>
        <w:keepNext/>
        <w:keepLines/>
        <w:pageBreakBefore w:val="0"/>
        <w:widowControl w:val="0"/>
        <w:numPr>
          <w:ilvl w:val="1"/>
          <w:numId w:val="1"/>
        </w:numPr>
        <w:kinsoku/>
        <w:wordWrap/>
        <w:overflowPunct/>
        <w:topLinePunct w:val="0"/>
        <w:autoSpaceDE/>
        <w:autoSpaceDN/>
        <w:bidi w:val="0"/>
        <w:adjustRightInd/>
        <w:snapToGrid/>
        <w:spacing w:before="0" w:after="0" w:line="560" w:lineRule="exact"/>
        <w:ind w:left="567" w:firstLine="0"/>
        <w:textAlignment w:val="auto"/>
        <w:rPr>
          <w:rFonts w:hint="default" w:ascii="Times New Roman" w:hAnsi="Times New Roman" w:cs="Times New Roman"/>
          <w:b w:val="0"/>
          <w:bCs/>
          <w:color w:val="auto"/>
        </w:rPr>
      </w:pPr>
      <w:bookmarkStart w:id="54" w:name="_Toc71630002"/>
      <w:r>
        <w:rPr>
          <w:rFonts w:hint="default" w:ascii="Times New Roman" w:hAnsi="Times New Roman" w:cs="Times New Roman"/>
          <w:b w:val="0"/>
          <w:bCs/>
          <w:color w:val="auto"/>
        </w:rPr>
        <w:t>强化要素政策保障</w:t>
      </w:r>
      <w:bookmarkEnd w:id="54"/>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党中央关于要完善差别化的区域政策的要求，增加对民族重点乡镇、民族乡村基础设施、基本公共服务项目、生态保护工程等的投入，确保少数民族事业科学发展和各项目标任务的实现。积极争取国家、省市政策，有针对性地研究制定优惠政策，优先安排少数民族事业领域的工程项目，政策、资金进一步向少数民族事业发展倾斜聚集。充分发挥财政资金的杠杆作用，积极引导社会资金和金融资金参与少数民族各项事业发展，形成政府投入为主的多元化投融资体系。</w:t>
      </w:r>
    </w:p>
    <w:p>
      <w:pPr>
        <w:pStyle w:val="3"/>
        <w:keepNext/>
        <w:keepLines/>
        <w:pageBreakBefore w:val="0"/>
        <w:widowControl w:val="0"/>
        <w:numPr>
          <w:ilvl w:val="1"/>
          <w:numId w:val="1"/>
        </w:numPr>
        <w:kinsoku/>
        <w:wordWrap/>
        <w:overflowPunct/>
        <w:topLinePunct w:val="0"/>
        <w:autoSpaceDE/>
        <w:autoSpaceDN/>
        <w:bidi w:val="0"/>
        <w:adjustRightInd/>
        <w:snapToGrid/>
        <w:spacing w:before="0" w:after="0" w:line="560" w:lineRule="exact"/>
        <w:ind w:left="567" w:firstLine="0"/>
        <w:textAlignment w:val="auto"/>
        <w:rPr>
          <w:rFonts w:hint="default" w:ascii="Times New Roman" w:hAnsi="Times New Roman" w:cs="Times New Roman"/>
          <w:b w:val="0"/>
          <w:bCs/>
          <w:color w:val="auto"/>
        </w:rPr>
      </w:pPr>
      <w:bookmarkStart w:id="55" w:name="_Toc71630003"/>
      <w:r>
        <w:rPr>
          <w:rFonts w:hint="default" w:ascii="Times New Roman" w:hAnsi="Times New Roman" w:cs="Times New Roman"/>
          <w:b w:val="0"/>
          <w:bCs/>
          <w:color w:val="auto"/>
        </w:rPr>
        <w:t>强化科技人才支撑</w:t>
      </w:r>
      <w:bookmarkEnd w:id="55"/>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结合平阳科技兴县战略，进一步发挥校地科技合作平台等智力资源，借力温州国家自主创新示范区、环大罗山科创走廊等科创资源，全面提高平阳少数民族事业发展的科技水平。全面提高少数民族群众思想道德素质、科学文化素质和健康素质。加强信息统计，建立科学规范的民族关系和少数民族事业发展综合监测评估体系。定期对少数民族人口分布、经济社会发展的各类指标进行统计、科学分析和综合评价，切实提高民族事务管理水平。</w:t>
      </w:r>
    </w:p>
    <w:p>
      <w:pPr>
        <w:pStyle w:val="3"/>
        <w:keepNext/>
        <w:keepLines/>
        <w:pageBreakBefore w:val="0"/>
        <w:widowControl w:val="0"/>
        <w:numPr>
          <w:ilvl w:val="1"/>
          <w:numId w:val="1"/>
        </w:numPr>
        <w:kinsoku/>
        <w:wordWrap/>
        <w:overflowPunct/>
        <w:topLinePunct w:val="0"/>
        <w:autoSpaceDE/>
        <w:autoSpaceDN/>
        <w:bidi w:val="0"/>
        <w:adjustRightInd/>
        <w:snapToGrid/>
        <w:spacing w:before="0" w:after="0" w:line="560" w:lineRule="exact"/>
        <w:ind w:left="567" w:firstLine="0"/>
        <w:textAlignment w:val="auto"/>
        <w:rPr>
          <w:rFonts w:hint="default" w:ascii="Times New Roman" w:hAnsi="Times New Roman" w:cs="Times New Roman"/>
          <w:b w:val="0"/>
          <w:bCs/>
          <w:color w:val="auto"/>
        </w:rPr>
      </w:pPr>
      <w:bookmarkStart w:id="56" w:name="_Toc71630004"/>
      <w:r>
        <w:rPr>
          <w:rFonts w:hint="default" w:ascii="Times New Roman" w:hAnsi="Times New Roman" w:cs="Times New Roman"/>
          <w:b w:val="0"/>
          <w:bCs/>
          <w:color w:val="auto"/>
        </w:rPr>
        <w:t>强化社会氛围营造</w:t>
      </w:r>
      <w:bookmarkEnd w:id="56"/>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加强规划宣传，增强规划影响力，不断创新宣传形式、丰富宣传内容、拓宽宣传阵地，把加强宣传作为少数民族事业发展工作的重要抓手，努力营造全社会共同关心、支持少数民族和民族地区发展的良好氛围。通过公众号、网络，以及自媒体、直播等新媒体平台和方式，加强对民族重点工作、少数民族重大节庆活动、精神文明新风尚等领域宣传，全面拓展宣传覆盖面，提高宣传推广效果。</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p>
    <w:p>
      <w:pPr>
        <w:widowControl/>
        <w:spacing w:line="600" w:lineRule="exact"/>
        <w:ind w:firstLine="640" w:firstLineChars="200"/>
        <w:rPr>
          <w:rFonts w:hint="default" w:ascii="Times New Roman" w:hAnsi="Times New Roman" w:eastAsia="仿宋_GB2312" w:cs="Times New Roman"/>
          <w:color w:val="auto"/>
          <w:sz w:val="32"/>
          <w:szCs w:val="32"/>
        </w:rPr>
      </w:pPr>
    </w:p>
    <w:p>
      <w:pPr>
        <w:widowControl/>
        <w:spacing w:line="600" w:lineRule="exact"/>
        <w:ind w:firstLine="640" w:firstLineChars="200"/>
        <w:rPr>
          <w:rFonts w:hint="default" w:ascii="Times New Roman" w:hAnsi="Times New Roman" w:eastAsia="仿宋_GB2312" w:cs="Times New Roman"/>
          <w:color w:val="auto"/>
          <w:sz w:val="32"/>
          <w:szCs w:val="32"/>
        </w:rPr>
      </w:pPr>
    </w:p>
    <w:p>
      <w:pPr>
        <w:widowControl/>
        <w:spacing w:line="600" w:lineRule="exact"/>
        <w:ind w:firstLine="640" w:firstLineChars="200"/>
        <w:rPr>
          <w:rFonts w:hint="default" w:ascii="Times New Roman" w:hAnsi="Times New Roman" w:eastAsia="仿宋_GB2312" w:cs="Times New Roman"/>
          <w:color w:val="auto"/>
          <w:sz w:val="32"/>
          <w:szCs w:val="32"/>
        </w:rPr>
      </w:pPr>
    </w:p>
    <w:p>
      <w:pPr>
        <w:widowControl/>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br w:type="page"/>
      </w:r>
    </w:p>
    <w:p>
      <w:pPr>
        <w:widowControl/>
        <w:spacing w:line="600" w:lineRule="exact"/>
        <w:rPr>
          <w:rFonts w:hint="default" w:ascii="Times New Roman" w:hAnsi="Times New Roman" w:eastAsia="黑体" w:cs="Times New Roman"/>
          <w:b w:val="0"/>
          <w:bCs w:val="0"/>
          <w:color w:val="auto"/>
          <w:kern w:val="0"/>
          <w:sz w:val="32"/>
          <w:szCs w:val="32"/>
          <w:lang w:val="en-US" w:eastAsia="zh-CN"/>
        </w:rPr>
      </w:pPr>
      <w:r>
        <w:rPr>
          <w:rFonts w:hint="default" w:ascii="Times New Roman" w:hAnsi="Times New Roman" w:eastAsia="黑体" w:cs="Times New Roman"/>
          <w:b w:val="0"/>
          <w:bCs w:val="0"/>
          <w:color w:val="auto"/>
          <w:kern w:val="0"/>
          <w:sz w:val="32"/>
          <w:szCs w:val="32"/>
        </w:rPr>
        <w:t>附件</w:t>
      </w:r>
      <w:r>
        <w:rPr>
          <w:rFonts w:hint="default" w:ascii="Times New Roman" w:hAnsi="Times New Roman" w:eastAsia="黑体" w:cs="Times New Roman"/>
          <w:b w:val="0"/>
          <w:bCs w:val="0"/>
          <w:color w:val="auto"/>
          <w:kern w:val="0"/>
          <w:sz w:val="32"/>
          <w:szCs w:val="32"/>
          <w:lang w:val="en-US" w:eastAsia="zh-CN"/>
        </w:rPr>
        <w:t>1</w:t>
      </w:r>
    </w:p>
    <w:p>
      <w:pPr>
        <w:widowControl/>
        <w:spacing w:line="600" w:lineRule="exact"/>
        <w:jc w:val="center"/>
        <w:rPr>
          <w:rFonts w:hint="default" w:ascii="Times New Roman" w:hAnsi="Times New Roman" w:eastAsia="方正小标宋简体" w:cs="Times New Roman"/>
          <w:b w:val="0"/>
          <w:bCs w:val="0"/>
          <w:color w:val="auto"/>
          <w:sz w:val="32"/>
          <w:szCs w:val="32"/>
        </w:rPr>
      </w:pPr>
      <w:r>
        <w:rPr>
          <w:rFonts w:hint="default" w:ascii="Times New Roman" w:hAnsi="Times New Roman" w:eastAsia="方正小标宋简体" w:cs="Times New Roman"/>
          <w:b w:val="0"/>
          <w:bCs w:val="0"/>
          <w:color w:val="auto"/>
          <w:kern w:val="0"/>
          <w:sz w:val="32"/>
          <w:szCs w:val="32"/>
        </w:rPr>
        <w:t>平阳县少数民族村分布表</w:t>
      </w:r>
    </w:p>
    <w:tbl>
      <w:tblPr>
        <w:tblStyle w:val="15"/>
        <w:tblpPr w:leftFromText="180" w:rightFromText="180" w:horzAnchor="margin" w:tblpY="1425"/>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4"/>
        <w:gridCol w:w="5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74" w:type="dxa"/>
            <w:vAlign w:val="center"/>
          </w:tcPr>
          <w:p>
            <w:pPr>
              <w:widowControl/>
              <w:jc w:val="center"/>
              <w:rPr>
                <w:rFonts w:hint="default" w:ascii="Times New Roman" w:hAnsi="Times New Roman" w:eastAsia="黑体" w:cs="Times New Roman"/>
                <w:b w:val="0"/>
                <w:bCs w:val="0"/>
                <w:color w:val="auto"/>
                <w:kern w:val="0"/>
                <w:sz w:val="28"/>
                <w:szCs w:val="28"/>
              </w:rPr>
            </w:pPr>
            <w:r>
              <w:rPr>
                <w:rFonts w:hint="default" w:ascii="Times New Roman" w:hAnsi="Times New Roman" w:eastAsia="黑体" w:cs="Times New Roman"/>
                <w:b w:val="0"/>
                <w:bCs w:val="0"/>
                <w:color w:val="auto"/>
                <w:kern w:val="0"/>
                <w:sz w:val="28"/>
                <w:szCs w:val="28"/>
              </w:rPr>
              <w:t>乡镇</w:t>
            </w:r>
          </w:p>
        </w:tc>
        <w:tc>
          <w:tcPr>
            <w:tcW w:w="5487" w:type="dxa"/>
            <w:vAlign w:val="center"/>
          </w:tcPr>
          <w:p>
            <w:pPr>
              <w:ind w:firstLine="442"/>
              <w:jc w:val="center"/>
              <w:rPr>
                <w:rFonts w:hint="default" w:ascii="Times New Roman" w:hAnsi="Times New Roman" w:eastAsia="黑体" w:cs="Times New Roman"/>
                <w:b w:val="0"/>
                <w:bCs w:val="0"/>
                <w:color w:val="auto"/>
                <w:sz w:val="28"/>
                <w:szCs w:val="28"/>
              </w:rPr>
            </w:pPr>
            <w:r>
              <w:rPr>
                <w:rFonts w:hint="default" w:ascii="Times New Roman" w:hAnsi="Times New Roman" w:eastAsia="黑体" w:cs="Times New Roman"/>
                <w:b w:val="0"/>
                <w:bCs w:val="0"/>
                <w:color w:val="auto"/>
                <w:kern w:val="0"/>
                <w:sz w:val="28"/>
                <w:szCs w:val="28"/>
              </w:rPr>
              <w:t>民族村名称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74" w:type="dxa"/>
            <w:vMerge w:val="restart"/>
            <w:vAlign w:val="center"/>
          </w:tcPr>
          <w:p>
            <w:pPr>
              <w:widowControl/>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青街畲族乡</w:t>
            </w:r>
          </w:p>
        </w:tc>
        <w:tc>
          <w:tcPr>
            <w:tcW w:w="5487" w:type="dxa"/>
            <w:vAlign w:val="center"/>
          </w:tcPr>
          <w:p>
            <w:pPr>
              <w:widowControl/>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王神洞村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74" w:type="dxa"/>
            <w:vMerge w:val="continue"/>
            <w:vAlign w:val="center"/>
          </w:tcPr>
          <w:p>
            <w:pPr>
              <w:ind w:firstLine="560" w:firstLineChars="200"/>
              <w:jc w:val="left"/>
              <w:rPr>
                <w:rFonts w:hint="default" w:ascii="Times New Roman" w:hAnsi="Times New Roman" w:eastAsia="仿宋_GB2312" w:cs="Times New Roman"/>
                <w:color w:val="auto"/>
                <w:kern w:val="0"/>
                <w:sz w:val="28"/>
                <w:szCs w:val="28"/>
              </w:rPr>
            </w:pPr>
          </w:p>
        </w:tc>
        <w:tc>
          <w:tcPr>
            <w:tcW w:w="5487" w:type="dxa"/>
            <w:vAlign w:val="center"/>
          </w:tcPr>
          <w:p>
            <w:pPr>
              <w:widowControl/>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九岱村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74" w:type="dxa"/>
            <w:vMerge w:val="continue"/>
            <w:vAlign w:val="center"/>
          </w:tcPr>
          <w:p>
            <w:pPr>
              <w:widowControl/>
              <w:jc w:val="left"/>
              <w:rPr>
                <w:rFonts w:hint="default" w:ascii="Times New Roman" w:hAnsi="Times New Roman" w:eastAsia="仿宋_GB2312" w:cs="Times New Roman"/>
                <w:color w:val="auto"/>
                <w:kern w:val="0"/>
                <w:sz w:val="28"/>
                <w:szCs w:val="28"/>
              </w:rPr>
            </w:pPr>
          </w:p>
        </w:tc>
        <w:tc>
          <w:tcPr>
            <w:tcW w:w="5487" w:type="dxa"/>
            <w:vAlign w:val="center"/>
          </w:tcPr>
          <w:p>
            <w:pPr>
              <w:widowControl/>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南朱山村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74" w:type="dxa"/>
            <w:vMerge w:val="restart"/>
            <w:vAlign w:val="center"/>
          </w:tcPr>
          <w:p>
            <w:pPr>
              <w:widowControl/>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顺溪镇</w:t>
            </w:r>
          </w:p>
        </w:tc>
        <w:tc>
          <w:tcPr>
            <w:tcW w:w="5487" w:type="dxa"/>
            <w:vAlign w:val="center"/>
          </w:tcPr>
          <w:p>
            <w:pPr>
              <w:widowControl/>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山头庵村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74" w:type="dxa"/>
            <w:vMerge w:val="continue"/>
            <w:vAlign w:val="center"/>
          </w:tcPr>
          <w:p>
            <w:pPr>
              <w:widowControl/>
              <w:jc w:val="left"/>
              <w:rPr>
                <w:rFonts w:hint="default" w:ascii="Times New Roman" w:hAnsi="Times New Roman" w:eastAsia="仿宋_GB2312" w:cs="Times New Roman"/>
                <w:color w:val="auto"/>
                <w:kern w:val="0"/>
                <w:sz w:val="28"/>
                <w:szCs w:val="28"/>
              </w:rPr>
            </w:pPr>
          </w:p>
        </w:tc>
        <w:tc>
          <w:tcPr>
            <w:tcW w:w="5487" w:type="dxa"/>
            <w:vAlign w:val="center"/>
          </w:tcPr>
          <w:p>
            <w:pPr>
              <w:widowControl/>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溪南村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74" w:type="dxa"/>
            <w:vMerge w:val="continue"/>
            <w:vAlign w:val="center"/>
          </w:tcPr>
          <w:p>
            <w:pPr>
              <w:widowControl/>
              <w:jc w:val="left"/>
              <w:rPr>
                <w:rFonts w:hint="default" w:ascii="Times New Roman" w:hAnsi="Times New Roman" w:eastAsia="仿宋_GB2312" w:cs="Times New Roman"/>
                <w:color w:val="auto"/>
                <w:kern w:val="0"/>
                <w:sz w:val="28"/>
                <w:szCs w:val="28"/>
              </w:rPr>
            </w:pPr>
          </w:p>
        </w:tc>
        <w:tc>
          <w:tcPr>
            <w:tcW w:w="5487" w:type="dxa"/>
            <w:vAlign w:val="center"/>
          </w:tcPr>
          <w:p>
            <w:pPr>
              <w:widowControl/>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余山村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74" w:type="dxa"/>
            <w:vMerge w:val="restart"/>
            <w:vAlign w:val="center"/>
          </w:tcPr>
          <w:p>
            <w:pPr>
              <w:widowControl/>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南雁镇</w:t>
            </w:r>
          </w:p>
        </w:tc>
        <w:tc>
          <w:tcPr>
            <w:tcW w:w="5487" w:type="dxa"/>
            <w:vAlign w:val="center"/>
          </w:tcPr>
          <w:p>
            <w:pPr>
              <w:widowControl/>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前山村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74" w:type="dxa"/>
            <w:vMerge w:val="continue"/>
            <w:vAlign w:val="center"/>
          </w:tcPr>
          <w:p>
            <w:pPr>
              <w:widowControl/>
              <w:jc w:val="left"/>
              <w:rPr>
                <w:rFonts w:hint="default" w:ascii="Times New Roman" w:hAnsi="Times New Roman" w:eastAsia="仿宋_GB2312" w:cs="Times New Roman"/>
                <w:color w:val="auto"/>
                <w:kern w:val="0"/>
                <w:sz w:val="28"/>
                <w:szCs w:val="28"/>
              </w:rPr>
            </w:pPr>
          </w:p>
        </w:tc>
        <w:tc>
          <w:tcPr>
            <w:tcW w:w="5487" w:type="dxa"/>
            <w:vAlign w:val="center"/>
          </w:tcPr>
          <w:p>
            <w:pPr>
              <w:widowControl/>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堂基村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74" w:type="dxa"/>
            <w:vAlign w:val="center"/>
          </w:tcPr>
          <w:p>
            <w:pPr>
              <w:widowControl/>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水头镇</w:t>
            </w:r>
          </w:p>
        </w:tc>
        <w:tc>
          <w:tcPr>
            <w:tcW w:w="5487" w:type="dxa"/>
            <w:vAlign w:val="center"/>
          </w:tcPr>
          <w:p>
            <w:pPr>
              <w:widowControl/>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新联村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74" w:type="dxa"/>
            <w:vAlign w:val="center"/>
          </w:tcPr>
          <w:p>
            <w:pPr>
              <w:widowControl/>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闹村乡</w:t>
            </w:r>
          </w:p>
        </w:tc>
        <w:tc>
          <w:tcPr>
            <w:tcW w:w="5487" w:type="dxa"/>
            <w:vAlign w:val="center"/>
          </w:tcPr>
          <w:p>
            <w:pPr>
              <w:widowControl/>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东北村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74" w:type="dxa"/>
            <w:vAlign w:val="center"/>
          </w:tcPr>
          <w:p>
            <w:pPr>
              <w:widowControl/>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怀溪镇</w:t>
            </w:r>
          </w:p>
        </w:tc>
        <w:tc>
          <w:tcPr>
            <w:tcW w:w="5487" w:type="dxa"/>
            <w:vAlign w:val="center"/>
          </w:tcPr>
          <w:p>
            <w:pPr>
              <w:widowControl/>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畲龙村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74" w:type="dxa"/>
            <w:vAlign w:val="center"/>
          </w:tcPr>
          <w:p>
            <w:pPr>
              <w:widowControl/>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鳌江镇</w:t>
            </w:r>
          </w:p>
        </w:tc>
        <w:tc>
          <w:tcPr>
            <w:tcW w:w="5487" w:type="dxa"/>
            <w:vAlign w:val="center"/>
          </w:tcPr>
          <w:p>
            <w:pPr>
              <w:widowControl/>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书阁村</w:t>
            </w:r>
          </w:p>
        </w:tc>
      </w:tr>
    </w:tbl>
    <w:p>
      <w:pPr>
        <w:autoSpaceDE w:val="0"/>
        <w:autoSpaceDN w:val="0"/>
        <w:adjustRightInd w:val="0"/>
        <w:rPr>
          <w:rFonts w:hint="default" w:ascii="Times New Roman" w:hAnsi="Times New Roman" w:eastAsia="仿宋_GB2312" w:cs="Times New Roman"/>
          <w:color w:val="auto"/>
          <w:kern w:val="0"/>
          <w:sz w:val="24"/>
        </w:rPr>
      </w:pPr>
    </w:p>
    <w:p>
      <w:pPr>
        <w:widowControl/>
        <w:spacing w:line="600" w:lineRule="exact"/>
        <w:ind w:firstLine="640" w:firstLineChars="200"/>
        <w:rPr>
          <w:rFonts w:hint="default" w:ascii="Times New Roman" w:hAnsi="Times New Roman" w:eastAsia="仿宋_GB2312" w:cs="Times New Roman"/>
          <w:color w:val="auto"/>
          <w:sz w:val="32"/>
          <w:szCs w:val="32"/>
        </w:rPr>
      </w:pPr>
    </w:p>
    <w:p>
      <w:pPr>
        <w:tabs>
          <w:tab w:val="left" w:pos="1140"/>
        </w:tabs>
        <w:rPr>
          <w:rFonts w:hint="default" w:ascii="Times New Roman" w:hAnsi="Times New Roman" w:eastAsia="仿宋_GB2312" w:cs="Times New Roman"/>
          <w:color w:val="auto"/>
          <w:sz w:val="32"/>
          <w:szCs w:val="32"/>
        </w:rPr>
        <w:sectPr>
          <w:footerReference r:id="rId3" w:type="default"/>
          <w:pgSz w:w="11906" w:h="16838"/>
          <w:pgMar w:top="1701" w:right="1474" w:bottom="1474" w:left="1587" w:header="851" w:footer="992" w:gutter="0"/>
          <w:cols w:space="425" w:num="1"/>
          <w:docGrid w:type="lines" w:linePitch="312" w:charSpace="0"/>
        </w:sectPr>
      </w:pPr>
    </w:p>
    <w:p>
      <w:pPr>
        <w:autoSpaceDE w:val="0"/>
        <w:autoSpaceDN w:val="0"/>
        <w:adjustRightInd w:val="0"/>
        <w:rPr>
          <w:rFonts w:hint="default" w:ascii="Times New Roman" w:hAnsi="Times New Roman" w:eastAsia="黑体" w:cs="Times New Roman"/>
          <w:b w:val="0"/>
          <w:bCs w:val="0"/>
          <w:color w:val="auto"/>
          <w:kern w:val="0"/>
          <w:sz w:val="32"/>
          <w:szCs w:val="32"/>
          <w:lang w:val="en-US" w:eastAsia="zh-CN"/>
        </w:rPr>
      </w:pPr>
      <w:r>
        <w:rPr>
          <w:rFonts w:hint="default" w:ascii="Times New Roman" w:hAnsi="Times New Roman" w:eastAsia="黑体" w:cs="Times New Roman"/>
          <w:b w:val="0"/>
          <w:bCs w:val="0"/>
          <w:color w:val="auto"/>
          <w:kern w:val="0"/>
          <w:sz w:val="32"/>
          <w:szCs w:val="32"/>
        </w:rPr>
        <w:t>附件</w:t>
      </w:r>
      <w:r>
        <w:rPr>
          <w:rFonts w:hint="default" w:ascii="Times New Roman" w:hAnsi="Times New Roman" w:eastAsia="黑体" w:cs="Times New Roman"/>
          <w:b w:val="0"/>
          <w:bCs w:val="0"/>
          <w:color w:val="auto"/>
          <w:kern w:val="0"/>
          <w:sz w:val="32"/>
          <w:szCs w:val="32"/>
          <w:lang w:val="en-US" w:eastAsia="zh-CN"/>
        </w:rPr>
        <w:t>2</w:t>
      </w:r>
    </w:p>
    <w:p>
      <w:pPr>
        <w:autoSpaceDE w:val="0"/>
        <w:autoSpaceDN w:val="0"/>
        <w:adjustRightInd w:val="0"/>
        <w:jc w:val="center"/>
        <w:rPr>
          <w:rFonts w:hint="default" w:ascii="Times New Roman" w:hAnsi="Times New Roman" w:eastAsia="楷体_GB2312" w:cs="Times New Roman"/>
          <w:b w:val="0"/>
          <w:bCs w:val="0"/>
          <w:color w:val="auto"/>
          <w:kern w:val="0"/>
          <w:sz w:val="28"/>
          <w:szCs w:val="28"/>
        </w:rPr>
      </w:pPr>
      <w:r>
        <w:rPr>
          <w:rFonts w:hint="default" w:ascii="Times New Roman" w:hAnsi="Times New Roman" w:eastAsia="方正小标宋简体" w:cs="Times New Roman"/>
          <w:b w:val="0"/>
          <w:bCs w:val="0"/>
          <w:color w:val="auto"/>
          <w:kern w:val="0"/>
          <w:sz w:val="32"/>
          <w:szCs w:val="32"/>
          <w:lang w:val="en-US" w:eastAsia="zh-CN"/>
        </w:rPr>
        <w:t xml:space="preserve">                        </w:t>
      </w:r>
      <w:r>
        <w:rPr>
          <w:rFonts w:hint="default" w:ascii="Times New Roman" w:hAnsi="Times New Roman" w:eastAsia="方正小标宋简体" w:cs="Times New Roman"/>
          <w:b w:val="0"/>
          <w:bCs w:val="0"/>
          <w:color w:val="auto"/>
          <w:kern w:val="0"/>
          <w:sz w:val="32"/>
          <w:szCs w:val="32"/>
        </w:rPr>
        <w:t xml:space="preserve">平阳县少数民族事业“十四五”重点项目表    </w:t>
      </w:r>
      <w:r>
        <w:rPr>
          <w:rFonts w:hint="default" w:ascii="Times New Roman" w:hAnsi="Times New Roman" w:eastAsia="黑体" w:cs="Times New Roman"/>
          <w:b/>
          <w:bCs/>
          <w:color w:val="auto"/>
          <w:kern w:val="0"/>
          <w:sz w:val="32"/>
          <w:szCs w:val="32"/>
        </w:rPr>
        <w:t xml:space="preserve">             </w:t>
      </w:r>
      <w:r>
        <w:rPr>
          <w:rFonts w:hint="default" w:ascii="Times New Roman" w:hAnsi="Times New Roman" w:eastAsia="楷体_GB2312" w:cs="Times New Roman"/>
          <w:b w:val="0"/>
          <w:bCs w:val="0"/>
          <w:color w:val="auto"/>
          <w:kern w:val="0"/>
          <w:sz w:val="24"/>
        </w:rPr>
        <w:t>单位（亿元）</w:t>
      </w:r>
    </w:p>
    <w:tbl>
      <w:tblPr>
        <w:tblStyle w:val="15"/>
        <w:tblW w:w="14174" w:type="dxa"/>
        <w:jc w:val="center"/>
        <w:tblLayout w:type="fixed"/>
        <w:tblCellMar>
          <w:top w:w="0" w:type="dxa"/>
          <w:left w:w="108" w:type="dxa"/>
          <w:bottom w:w="0" w:type="dxa"/>
          <w:right w:w="108" w:type="dxa"/>
        </w:tblCellMar>
      </w:tblPr>
      <w:tblGrid>
        <w:gridCol w:w="624"/>
        <w:gridCol w:w="1273"/>
        <w:gridCol w:w="834"/>
        <w:gridCol w:w="1041"/>
        <w:gridCol w:w="1259"/>
        <w:gridCol w:w="5281"/>
        <w:gridCol w:w="961"/>
        <w:gridCol w:w="944"/>
        <w:gridCol w:w="854"/>
        <w:gridCol w:w="865"/>
        <w:gridCol w:w="238"/>
      </w:tblGrid>
      <w:tr>
        <w:tblPrEx>
          <w:tblCellMar>
            <w:top w:w="0" w:type="dxa"/>
            <w:left w:w="108" w:type="dxa"/>
            <w:bottom w:w="0" w:type="dxa"/>
            <w:right w:w="108" w:type="dxa"/>
          </w:tblCellMar>
        </w:tblPrEx>
        <w:trPr>
          <w:gridAfter w:val="1"/>
          <w:wAfter w:w="238" w:type="dxa"/>
          <w:trHeight w:val="343" w:hRule="atLeast"/>
          <w:jc w:val="center"/>
        </w:trPr>
        <w:tc>
          <w:tcPr>
            <w:tcW w:w="624" w:type="dxa"/>
            <w:vMerge w:val="restart"/>
            <w:tcBorders>
              <w:top w:val="single" w:color="auto" w:sz="8" w:space="0"/>
              <w:left w:val="single" w:color="auto" w:sz="8" w:space="0"/>
              <w:bottom w:val="single" w:color="000000" w:sz="8" w:space="0"/>
              <w:right w:val="single" w:color="auto" w:sz="8" w:space="0"/>
            </w:tcBorders>
            <w:vAlign w:val="center"/>
          </w:tcPr>
          <w:p>
            <w:pPr>
              <w:adjustRightInd w:val="0"/>
              <w:snapToGrid w:val="0"/>
              <w:spacing w:line="240" w:lineRule="atLeast"/>
              <w:jc w:val="center"/>
              <w:rPr>
                <w:rFonts w:hint="default"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序号</w:t>
            </w:r>
          </w:p>
        </w:tc>
        <w:tc>
          <w:tcPr>
            <w:tcW w:w="1273" w:type="dxa"/>
            <w:vMerge w:val="restart"/>
            <w:tcBorders>
              <w:top w:val="single" w:color="auto" w:sz="8" w:space="0"/>
              <w:left w:val="nil"/>
              <w:bottom w:val="single" w:color="000000" w:sz="8" w:space="0"/>
              <w:right w:val="single" w:color="auto" w:sz="8" w:space="0"/>
            </w:tcBorders>
            <w:vAlign w:val="center"/>
          </w:tcPr>
          <w:p>
            <w:pPr>
              <w:adjustRightInd w:val="0"/>
              <w:snapToGrid w:val="0"/>
              <w:spacing w:line="240" w:lineRule="atLeast"/>
              <w:jc w:val="center"/>
              <w:rPr>
                <w:rFonts w:hint="default"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项目名称</w:t>
            </w:r>
          </w:p>
        </w:tc>
        <w:tc>
          <w:tcPr>
            <w:tcW w:w="834" w:type="dxa"/>
            <w:vMerge w:val="restart"/>
            <w:tcBorders>
              <w:top w:val="single" w:color="auto" w:sz="8" w:space="0"/>
              <w:left w:val="nil"/>
              <w:bottom w:val="single" w:color="000000" w:sz="8" w:space="0"/>
              <w:right w:val="single" w:color="auto" w:sz="8" w:space="0"/>
            </w:tcBorders>
            <w:vAlign w:val="center"/>
          </w:tcPr>
          <w:p>
            <w:pPr>
              <w:adjustRightInd w:val="0"/>
              <w:snapToGrid w:val="0"/>
              <w:spacing w:line="240" w:lineRule="atLeast"/>
              <w:jc w:val="center"/>
              <w:rPr>
                <w:rFonts w:hint="default"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建设状态</w:t>
            </w:r>
          </w:p>
        </w:tc>
        <w:tc>
          <w:tcPr>
            <w:tcW w:w="1041" w:type="dxa"/>
            <w:vMerge w:val="restart"/>
            <w:tcBorders>
              <w:top w:val="single" w:color="auto" w:sz="8" w:space="0"/>
              <w:left w:val="nil"/>
              <w:bottom w:val="single" w:color="000000" w:sz="8" w:space="0"/>
              <w:right w:val="single" w:color="auto" w:sz="8" w:space="0"/>
            </w:tcBorders>
            <w:vAlign w:val="center"/>
          </w:tcPr>
          <w:p>
            <w:pPr>
              <w:adjustRightInd w:val="0"/>
              <w:snapToGrid w:val="0"/>
              <w:spacing w:line="240" w:lineRule="atLeast"/>
              <w:jc w:val="center"/>
              <w:rPr>
                <w:rFonts w:hint="default"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建设地点</w:t>
            </w:r>
          </w:p>
        </w:tc>
        <w:tc>
          <w:tcPr>
            <w:tcW w:w="1259" w:type="dxa"/>
            <w:vMerge w:val="restart"/>
            <w:tcBorders>
              <w:top w:val="single" w:color="auto" w:sz="8" w:space="0"/>
              <w:left w:val="nil"/>
              <w:bottom w:val="single" w:color="000000" w:sz="8" w:space="0"/>
              <w:right w:val="single" w:color="auto" w:sz="8" w:space="0"/>
            </w:tcBorders>
            <w:vAlign w:val="center"/>
          </w:tcPr>
          <w:p>
            <w:pPr>
              <w:adjustRightInd w:val="0"/>
              <w:snapToGrid w:val="0"/>
              <w:spacing w:line="240" w:lineRule="atLeast"/>
              <w:jc w:val="center"/>
              <w:rPr>
                <w:rFonts w:hint="default"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建设年限</w:t>
            </w:r>
          </w:p>
        </w:tc>
        <w:tc>
          <w:tcPr>
            <w:tcW w:w="5281" w:type="dxa"/>
            <w:vMerge w:val="restart"/>
            <w:tcBorders>
              <w:top w:val="single" w:color="auto" w:sz="8" w:space="0"/>
              <w:left w:val="nil"/>
              <w:bottom w:val="single" w:color="000000" w:sz="8" w:space="0"/>
              <w:right w:val="single" w:color="auto" w:sz="8" w:space="0"/>
            </w:tcBorders>
            <w:vAlign w:val="center"/>
          </w:tcPr>
          <w:p>
            <w:pPr>
              <w:adjustRightInd w:val="0"/>
              <w:snapToGrid w:val="0"/>
              <w:spacing w:line="240" w:lineRule="atLeast"/>
              <w:jc w:val="center"/>
              <w:rPr>
                <w:rFonts w:hint="default"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建设规模和内容</w:t>
            </w:r>
          </w:p>
        </w:tc>
        <w:tc>
          <w:tcPr>
            <w:tcW w:w="961" w:type="dxa"/>
            <w:vMerge w:val="restart"/>
            <w:tcBorders>
              <w:top w:val="single" w:color="auto" w:sz="8" w:space="0"/>
              <w:left w:val="nil"/>
              <w:bottom w:val="single" w:color="000000" w:sz="8" w:space="0"/>
              <w:right w:val="single" w:color="auto" w:sz="8" w:space="0"/>
            </w:tcBorders>
            <w:vAlign w:val="center"/>
          </w:tcPr>
          <w:p>
            <w:pPr>
              <w:adjustRightInd w:val="0"/>
              <w:snapToGrid w:val="0"/>
              <w:spacing w:line="240" w:lineRule="atLeast"/>
              <w:jc w:val="center"/>
              <w:rPr>
                <w:rFonts w:hint="default"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规划总投资</w:t>
            </w:r>
          </w:p>
        </w:tc>
        <w:tc>
          <w:tcPr>
            <w:tcW w:w="944" w:type="dxa"/>
            <w:vMerge w:val="restart"/>
            <w:tcBorders>
              <w:top w:val="single" w:color="auto" w:sz="8" w:space="0"/>
              <w:left w:val="nil"/>
              <w:bottom w:val="single" w:color="000000" w:sz="8" w:space="0"/>
              <w:right w:val="single" w:color="auto" w:sz="8" w:space="0"/>
            </w:tcBorders>
            <w:vAlign w:val="center"/>
          </w:tcPr>
          <w:p>
            <w:pPr>
              <w:adjustRightInd w:val="0"/>
              <w:snapToGrid w:val="0"/>
              <w:spacing w:line="240" w:lineRule="atLeast"/>
              <w:jc w:val="center"/>
              <w:rPr>
                <w:rFonts w:hint="default"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已完成投资</w:t>
            </w:r>
          </w:p>
        </w:tc>
        <w:tc>
          <w:tcPr>
            <w:tcW w:w="854" w:type="dxa"/>
            <w:vMerge w:val="restart"/>
            <w:tcBorders>
              <w:top w:val="single" w:color="auto" w:sz="8" w:space="0"/>
              <w:left w:val="nil"/>
              <w:bottom w:val="single" w:color="000000" w:sz="8" w:space="0"/>
              <w:right w:val="single" w:color="auto" w:sz="8" w:space="0"/>
            </w:tcBorders>
            <w:vAlign w:val="center"/>
          </w:tcPr>
          <w:p>
            <w:pPr>
              <w:adjustRightInd w:val="0"/>
              <w:snapToGrid w:val="0"/>
              <w:spacing w:line="240" w:lineRule="atLeast"/>
              <w:jc w:val="center"/>
              <w:rPr>
                <w:rFonts w:hint="default"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“十四五”计划投资</w:t>
            </w:r>
          </w:p>
        </w:tc>
        <w:tc>
          <w:tcPr>
            <w:tcW w:w="865" w:type="dxa"/>
            <w:vMerge w:val="restart"/>
            <w:tcBorders>
              <w:top w:val="single" w:color="auto" w:sz="8" w:space="0"/>
              <w:left w:val="nil"/>
              <w:bottom w:val="single" w:color="000000" w:sz="8" w:space="0"/>
              <w:right w:val="single" w:color="auto" w:sz="8" w:space="0"/>
            </w:tcBorders>
            <w:vAlign w:val="center"/>
          </w:tcPr>
          <w:p>
            <w:pPr>
              <w:adjustRightInd w:val="0"/>
              <w:snapToGrid w:val="0"/>
              <w:spacing w:line="240" w:lineRule="atLeast"/>
              <w:jc w:val="center"/>
              <w:rPr>
                <w:rFonts w:hint="default"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当前项目进展情况</w:t>
            </w:r>
          </w:p>
        </w:tc>
      </w:tr>
      <w:tr>
        <w:tblPrEx>
          <w:tblCellMar>
            <w:top w:w="0" w:type="dxa"/>
            <w:left w:w="108" w:type="dxa"/>
            <w:bottom w:w="0" w:type="dxa"/>
            <w:right w:w="108" w:type="dxa"/>
          </w:tblCellMar>
        </w:tblPrEx>
        <w:trPr>
          <w:trHeight w:val="435" w:hRule="atLeast"/>
          <w:jc w:val="center"/>
        </w:trPr>
        <w:tc>
          <w:tcPr>
            <w:tcW w:w="624"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_GB2312" w:cs="Times New Roman"/>
                <w:b/>
                <w:bCs/>
                <w:color w:val="auto"/>
                <w:kern w:val="0"/>
                <w:sz w:val="20"/>
                <w:szCs w:val="20"/>
              </w:rPr>
            </w:pPr>
          </w:p>
        </w:tc>
        <w:tc>
          <w:tcPr>
            <w:tcW w:w="1273" w:type="dxa"/>
            <w:vMerge w:val="continue"/>
            <w:tcBorders>
              <w:top w:val="single" w:color="auto" w:sz="8" w:space="0"/>
              <w:left w:val="nil"/>
              <w:bottom w:val="single" w:color="000000" w:sz="8" w:space="0"/>
              <w:right w:val="single" w:color="auto" w:sz="8" w:space="0"/>
            </w:tcBorders>
            <w:vAlign w:val="center"/>
          </w:tcPr>
          <w:p>
            <w:pPr>
              <w:widowControl/>
              <w:jc w:val="left"/>
              <w:rPr>
                <w:rFonts w:hint="default" w:ascii="Times New Roman" w:hAnsi="Times New Roman" w:eastAsia="仿宋_GB2312" w:cs="Times New Roman"/>
                <w:b/>
                <w:bCs/>
                <w:color w:val="auto"/>
                <w:kern w:val="0"/>
                <w:sz w:val="20"/>
                <w:szCs w:val="20"/>
              </w:rPr>
            </w:pPr>
          </w:p>
        </w:tc>
        <w:tc>
          <w:tcPr>
            <w:tcW w:w="834" w:type="dxa"/>
            <w:vMerge w:val="continue"/>
            <w:tcBorders>
              <w:top w:val="single" w:color="auto" w:sz="8" w:space="0"/>
              <w:left w:val="nil"/>
              <w:bottom w:val="single" w:color="000000" w:sz="8" w:space="0"/>
              <w:right w:val="single" w:color="auto" w:sz="8" w:space="0"/>
            </w:tcBorders>
            <w:vAlign w:val="center"/>
          </w:tcPr>
          <w:p>
            <w:pPr>
              <w:widowControl/>
              <w:jc w:val="left"/>
              <w:rPr>
                <w:rFonts w:hint="default" w:ascii="Times New Roman" w:hAnsi="Times New Roman" w:eastAsia="仿宋_GB2312" w:cs="Times New Roman"/>
                <w:b/>
                <w:bCs/>
                <w:color w:val="auto"/>
                <w:kern w:val="0"/>
                <w:sz w:val="20"/>
                <w:szCs w:val="20"/>
              </w:rPr>
            </w:pPr>
          </w:p>
        </w:tc>
        <w:tc>
          <w:tcPr>
            <w:tcW w:w="1041" w:type="dxa"/>
            <w:vMerge w:val="continue"/>
            <w:tcBorders>
              <w:top w:val="single" w:color="auto" w:sz="8" w:space="0"/>
              <w:left w:val="nil"/>
              <w:bottom w:val="single" w:color="000000" w:sz="8" w:space="0"/>
              <w:right w:val="single" w:color="auto" w:sz="8" w:space="0"/>
            </w:tcBorders>
            <w:vAlign w:val="center"/>
          </w:tcPr>
          <w:p>
            <w:pPr>
              <w:widowControl/>
              <w:jc w:val="left"/>
              <w:rPr>
                <w:rFonts w:hint="default" w:ascii="Times New Roman" w:hAnsi="Times New Roman" w:eastAsia="仿宋_GB2312" w:cs="Times New Roman"/>
                <w:b/>
                <w:bCs/>
                <w:color w:val="auto"/>
                <w:kern w:val="0"/>
                <w:sz w:val="20"/>
                <w:szCs w:val="20"/>
              </w:rPr>
            </w:pPr>
          </w:p>
        </w:tc>
        <w:tc>
          <w:tcPr>
            <w:tcW w:w="1259" w:type="dxa"/>
            <w:vMerge w:val="continue"/>
            <w:tcBorders>
              <w:top w:val="single" w:color="auto" w:sz="8" w:space="0"/>
              <w:left w:val="nil"/>
              <w:bottom w:val="single" w:color="000000" w:sz="8" w:space="0"/>
              <w:right w:val="single" w:color="auto" w:sz="8" w:space="0"/>
            </w:tcBorders>
            <w:vAlign w:val="center"/>
          </w:tcPr>
          <w:p>
            <w:pPr>
              <w:widowControl/>
              <w:jc w:val="left"/>
              <w:rPr>
                <w:rFonts w:hint="default" w:ascii="Times New Roman" w:hAnsi="Times New Roman" w:eastAsia="仿宋_GB2312" w:cs="Times New Roman"/>
                <w:b/>
                <w:bCs/>
                <w:color w:val="auto"/>
                <w:kern w:val="0"/>
                <w:sz w:val="20"/>
                <w:szCs w:val="20"/>
              </w:rPr>
            </w:pPr>
          </w:p>
        </w:tc>
        <w:tc>
          <w:tcPr>
            <w:tcW w:w="5281" w:type="dxa"/>
            <w:vMerge w:val="continue"/>
            <w:tcBorders>
              <w:top w:val="single" w:color="auto" w:sz="8" w:space="0"/>
              <w:left w:val="nil"/>
              <w:bottom w:val="single" w:color="000000" w:sz="8" w:space="0"/>
              <w:right w:val="single" w:color="auto" w:sz="8" w:space="0"/>
            </w:tcBorders>
            <w:vAlign w:val="center"/>
          </w:tcPr>
          <w:p>
            <w:pPr>
              <w:widowControl/>
              <w:jc w:val="left"/>
              <w:rPr>
                <w:rFonts w:hint="default" w:ascii="Times New Roman" w:hAnsi="Times New Roman" w:eastAsia="仿宋_GB2312" w:cs="Times New Roman"/>
                <w:b/>
                <w:bCs/>
                <w:color w:val="auto"/>
                <w:kern w:val="0"/>
                <w:sz w:val="20"/>
                <w:szCs w:val="20"/>
              </w:rPr>
            </w:pPr>
          </w:p>
        </w:tc>
        <w:tc>
          <w:tcPr>
            <w:tcW w:w="961" w:type="dxa"/>
            <w:vMerge w:val="continue"/>
            <w:tcBorders>
              <w:top w:val="single" w:color="auto" w:sz="8" w:space="0"/>
              <w:left w:val="nil"/>
              <w:bottom w:val="single" w:color="000000" w:sz="8" w:space="0"/>
              <w:right w:val="single" w:color="auto" w:sz="8" w:space="0"/>
            </w:tcBorders>
            <w:vAlign w:val="center"/>
          </w:tcPr>
          <w:p>
            <w:pPr>
              <w:widowControl/>
              <w:jc w:val="left"/>
              <w:rPr>
                <w:rFonts w:hint="default" w:ascii="Times New Roman" w:hAnsi="Times New Roman" w:eastAsia="仿宋_GB2312" w:cs="Times New Roman"/>
                <w:b/>
                <w:bCs/>
                <w:color w:val="auto"/>
                <w:kern w:val="0"/>
                <w:sz w:val="20"/>
                <w:szCs w:val="20"/>
              </w:rPr>
            </w:pPr>
          </w:p>
        </w:tc>
        <w:tc>
          <w:tcPr>
            <w:tcW w:w="944" w:type="dxa"/>
            <w:vMerge w:val="continue"/>
            <w:tcBorders>
              <w:top w:val="single" w:color="auto" w:sz="8" w:space="0"/>
              <w:left w:val="nil"/>
              <w:bottom w:val="single" w:color="000000" w:sz="8" w:space="0"/>
              <w:right w:val="single" w:color="auto" w:sz="8" w:space="0"/>
            </w:tcBorders>
            <w:vAlign w:val="center"/>
          </w:tcPr>
          <w:p>
            <w:pPr>
              <w:widowControl/>
              <w:jc w:val="left"/>
              <w:rPr>
                <w:rFonts w:hint="default" w:ascii="Times New Roman" w:hAnsi="Times New Roman" w:eastAsia="仿宋_GB2312" w:cs="Times New Roman"/>
                <w:b/>
                <w:bCs/>
                <w:color w:val="auto"/>
                <w:kern w:val="0"/>
                <w:sz w:val="20"/>
                <w:szCs w:val="20"/>
              </w:rPr>
            </w:pPr>
          </w:p>
        </w:tc>
        <w:tc>
          <w:tcPr>
            <w:tcW w:w="854" w:type="dxa"/>
            <w:vMerge w:val="continue"/>
            <w:tcBorders>
              <w:top w:val="single" w:color="auto" w:sz="8" w:space="0"/>
              <w:left w:val="nil"/>
              <w:bottom w:val="single" w:color="000000" w:sz="8" w:space="0"/>
              <w:right w:val="single" w:color="auto" w:sz="8" w:space="0"/>
            </w:tcBorders>
            <w:vAlign w:val="center"/>
          </w:tcPr>
          <w:p>
            <w:pPr>
              <w:widowControl/>
              <w:jc w:val="left"/>
              <w:rPr>
                <w:rFonts w:hint="default" w:ascii="Times New Roman" w:hAnsi="Times New Roman" w:eastAsia="仿宋_GB2312" w:cs="Times New Roman"/>
                <w:b/>
                <w:bCs/>
                <w:color w:val="auto"/>
                <w:kern w:val="0"/>
                <w:sz w:val="20"/>
                <w:szCs w:val="20"/>
              </w:rPr>
            </w:pPr>
          </w:p>
        </w:tc>
        <w:tc>
          <w:tcPr>
            <w:tcW w:w="865" w:type="dxa"/>
            <w:vMerge w:val="continue"/>
            <w:tcBorders>
              <w:top w:val="single" w:color="auto" w:sz="8" w:space="0"/>
              <w:left w:val="nil"/>
              <w:bottom w:val="single" w:color="000000" w:sz="8" w:space="0"/>
              <w:right w:val="single" w:color="auto" w:sz="8" w:space="0"/>
            </w:tcBorders>
            <w:vAlign w:val="center"/>
          </w:tcPr>
          <w:p>
            <w:pPr>
              <w:widowControl/>
              <w:jc w:val="left"/>
              <w:rPr>
                <w:rFonts w:hint="default" w:ascii="Times New Roman" w:hAnsi="Times New Roman" w:eastAsia="仿宋_GB2312" w:cs="Times New Roman"/>
                <w:b/>
                <w:bCs/>
                <w:color w:val="auto"/>
                <w:kern w:val="0"/>
                <w:sz w:val="20"/>
                <w:szCs w:val="20"/>
              </w:rPr>
            </w:pPr>
          </w:p>
        </w:tc>
        <w:tc>
          <w:tcPr>
            <w:tcW w:w="238" w:type="dxa"/>
            <w:vAlign w:val="center"/>
          </w:tcPr>
          <w:p>
            <w:pPr>
              <w:ind w:firstLine="402" w:firstLineChars="200"/>
              <w:rPr>
                <w:rFonts w:hint="default" w:ascii="Times New Roman" w:hAnsi="Times New Roman" w:eastAsia="仿宋_GB2312" w:cs="Times New Roman"/>
                <w:b/>
                <w:bCs/>
                <w:color w:val="auto"/>
                <w:kern w:val="0"/>
                <w:sz w:val="20"/>
                <w:szCs w:val="20"/>
              </w:rPr>
            </w:pPr>
          </w:p>
        </w:tc>
      </w:tr>
      <w:tr>
        <w:tblPrEx>
          <w:tblCellMar>
            <w:top w:w="0" w:type="dxa"/>
            <w:left w:w="108" w:type="dxa"/>
            <w:bottom w:w="0" w:type="dxa"/>
            <w:right w:w="108" w:type="dxa"/>
          </w:tblCellMar>
        </w:tblPrEx>
        <w:trPr>
          <w:trHeight w:val="435" w:hRule="atLeast"/>
          <w:jc w:val="center"/>
        </w:trPr>
        <w:tc>
          <w:tcPr>
            <w:tcW w:w="624"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_GB2312" w:cs="Times New Roman"/>
                <w:b/>
                <w:bCs/>
                <w:color w:val="auto"/>
                <w:kern w:val="0"/>
                <w:sz w:val="20"/>
                <w:szCs w:val="20"/>
              </w:rPr>
            </w:pPr>
          </w:p>
        </w:tc>
        <w:tc>
          <w:tcPr>
            <w:tcW w:w="1273" w:type="dxa"/>
            <w:vMerge w:val="continue"/>
            <w:tcBorders>
              <w:top w:val="single" w:color="auto" w:sz="8" w:space="0"/>
              <w:left w:val="nil"/>
              <w:bottom w:val="single" w:color="000000" w:sz="8" w:space="0"/>
              <w:right w:val="single" w:color="auto" w:sz="8" w:space="0"/>
            </w:tcBorders>
            <w:vAlign w:val="center"/>
          </w:tcPr>
          <w:p>
            <w:pPr>
              <w:widowControl/>
              <w:jc w:val="left"/>
              <w:rPr>
                <w:rFonts w:hint="default" w:ascii="Times New Roman" w:hAnsi="Times New Roman" w:eastAsia="仿宋_GB2312" w:cs="Times New Roman"/>
                <w:b/>
                <w:bCs/>
                <w:color w:val="auto"/>
                <w:kern w:val="0"/>
                <w:sz w:val="20"/>
                <w:szCs w:val="20"/>
              </w:rPr>
            </w:pPr>
          </w:p>
        </w:tc>
        <w:tc>
          <w:tcPr>
            <w:tcW w:w="834" w:type="dxa"/>
            <w:vMerge w:val="continue"/>
            <w:tcBorders>
              <w:top w:val="single" w:color="auto" w:sz="8" w:space="0"/>
              <w:left w:val="nil"/>
              <w:bottom w:val="single" w:color="000000" w:sz="8" w:space="0"/>
              <w:right w:val="single" w:color="auto" w:sz="8" w:space="0"/>
            </w:tcBorders>
            <w:vAlign w:val="center"/>
          </w:tcPr>
          <w:p>
            <w:pPr>
              <w:widowControl/>
              <w:jc w:val="left"/>
              <w:rPr>
                <w:rFonts w:hint="default" w:ascii="Times New Roman" w:hAnsi="Times New Roman" w:eastAsia="仿宋_GB2312" w:cs="Times New Roman"/>
                <w:b/>
                <w:bCs/>
                <w:color w:val="auto"/>
                <w:kern w:val="0"/>
                <w:sz w:val="20"/>
                <w:szCs w:val="20"/>
              </w:rPr>
            </w:pPr>
          </w:p>
        </w:tc>
        <w:tc>
          <w:tcPr>
            <w:tcW w:w="1041" w:type="dxa"/>
            <w:vMerge w:val="continue"/>
            <w:tcBorders>
              <w:top w:val="single" w:color="auto" w:sz="8" w:space="0"/>
              <w:left w:val="nil"/>
              <w:bottom w:val="single" w:color="000000" w:sz="8" w:space="0"/>
              <w:right w:val="single" w:color="auto" w:sz="8" w:space="0"/>
            </w:tcBorders>
            <w:vAlign w:val="center"/>
          </w:tcPr>
          <w:p>
            <w:pPr>
              <w:widowControl/>
              <w:jc w:val="left"/>
              <w:rPr>
                <w:rFonts w:hint="default" w:ascii="Times New Roman" w:hAnsi="Times New Roman" w:eastAsia="仿宋_GB2312" w:cs="Times New Roman"/>
                <w:b/>
                <w:bCs/>
                <w:color w:val="auto"/>
                <w:kern w:val="0"/>
                <w:sz w:val="20"/>
                <w:szCs w:val="20"/>
              </w:rPr>
            </w:pPr>
          </w:p>
        </w:tc>
        <w:tc>
          <w:tcPr>
            <w:tcW w:w="1259" w:type="dxa"/>
            <w:vMerge w:val="continue"/>
            <w:tcBorders>
              <w:top w:val="single" w:color="auto" w:sz="8" w:space="0"/>
              <w:left w:val="nil"/>
              <w:bottom w:val="single" w:color="000000" w:sz="8" w:space="0"/>
              <w:right w:val="single" w:color="auto" w:sz="8" w:space="0"/>
            </w:tcBorders>
            <w:vAlign w:val="center"/>
          </w:tcPr>
          <w:p>
            <w:pPr>
              <w:widowControl/>
              <w:jc w:val="left"/>
              <w:rPr>
                <w:rFonts w:hint="default" w:ascii="Times New Roman" w:hAnsi="Times New Roman" w:eastAsia="仿宋_GB2312" w:cs="Times New Roman"/>
                <w:b/>
                <w:bCs/>
                <w:color w:val="auto"/>
                <w:kern w:val="0"/>
                <w:sz w:val="20"/>
                <w:szCs w:val="20"/>
              </w:rPr>
            </w:pPr>
          </w:p>
        </w:tc>
        <w:tc>
          <w:tcPr>
            <w:tcW w:w="5281" w:type="dxa"/>
            <w:vMerge w:val="continue"/>
            <w:tcBorders>
              <w:top w:val="single" w:color="auto" w:sz="8" w:space="0"/>
              <w:left w:val="nil"/>
              <w:bottom w:val="single" w:color="000000" w:sz="8" w:space="0"/>
              <w:right w:val="single" w:color="auto" w:sz="8" w:space="0"/>
            </w:tcBorders>
            <w:vAlign w:val="center"/>
          </w:tcPr>
          <w:p>
            <w:pPr>
              <w:widowControl/>
              <w:jc w:val="left"/>
              <w:rPr>
                <w:rFonts w:hint="default" w:ascii="Times New Roman" w:hAnsi="Times New Roman" w:eastAsia="仿宋_GB2312" w:cs="Times New Roman"/>
                <w:b/>
                <w:bCs/>
                <w:color w:val="auto"/>
                <w:kern w:val="0"/>
                <w:sz w:val="20"/>
                <w:szCs w:val="20"/>
              </w:rPr>
            </w:pPr>
          </w:p>
        </w:tc>
        <w:tc>
          <w:tcPr>
            <w:tcW w:w="961" w:type="dxa"/>
            <w:vMerge w:val="continue"/>
            <w:tcBorders>
              <w:top w:val="single" w:color="auto" w:sz="8" w:space="0"/>
              <w:left w:val="nil"/>
              <w:bottom w:val="single" w:color="000000" w:sz="8" w:space="0"/>
              <w:right w:val="single" w:color="auto" w:sz="8" w:space="0"/>
            </w:tcBorders>
            <w:vAlign w:val="center"/>
          </w:tcPr>
          <w:p>
            <w:pPr>
              <w:widowControl/>
              <w:jc w:val="left"/>
              <w:rPr>
                <w:rFonts w:hint="default" w:ascii="Times New Roman" w:hAnsi="Times New Roman" w:eastAsia="仿宋_GB2312" w:cs="Times New Roman"/>
                <w:b/>
                <w:bCs/>
                <w:color w:val="auto"/>
                <w:kern w:val="0"/>
                <w:sz w:val="20"/>
                <w:szCs w:val="20"/>
              </w:rPr>
            </w:pPr>
          </w:p>
        </w:tc>
        <w:tc>
          <w:tcPr>
            <w:tcW w:w="944" w:type="dxa"/>
            <w:vMerge w:val="continue"/>
            <w:tcBorders>
              <w:top w:val="single" w:color="auto" w:sz="8" w:space="0"/>
              <w:left w:val="nil"/>
              <w:bottom w:val="single" w:color="000000" w:sz="8" w:space="0"/>
              <w:right w:val="single" w:color="auto" w:sz="8" w:space="0"/>
            </w:tcBorders>
            <w:vAlign w:val="center"/>
          </w:tcPr>
          <w:p>
            <w:pPr>
              <w:widowControl/>
              <w:jc w:val="left"/>
              <w:rPr>
                <w:rFonts w:hint="default" w:ascii="Times New Roman" w:hAnsi="Times New Roman" w:eastAsia="仿宋_GB2312" w:cs="Times New Roman"/>
                <w:b/>
                <w:bCs/>
                <w:color w:val="auto"/>
                <w:kern w:val="0"/>
                <w:sz w:val="20"/>
                <w:szCs w:val="20"/>
              </w:rPr>
            </w:pPr>
          </w:p>
        </w:tc>
        <w:tc>
          <w:tcPr>
            <w:tcW w:w="854" w:type="dxa"/>
            <w:vMerge w:val="continue"/>
            <w:tcBorders>
              <w:top w:val="single" w:color="auto" w:sz="8" w:space="0"/>
              <w:left w:val="nil"/>
              <w:bottom w:val="single" w:color="000000" w:sz="8" w:space="0"/>
              <w:right w:val="single" w:color="auto" w:sz="8" w:space="0"/>
            </w:tcBorders>
            <w:vAlign w:val="center"/>
          </w:tcPr>
          <w:p>
            <w:pPr>
              <w:widowControl/>
              <w:jc w:val="left"/>
              <w:rPr>
                <w:rFonts w:hint="default" w:ascii="Times New Roman" w:hAnsi="Times New Roman" w:eastAsia="仿宋_GB2312" w:cs="Times New Roman"/>
                <w:b/>
                <w:bCs/>
                <w:color w:val="auto"/>
                <w:kern w:val="0"/>
                <w:sz w:val="20"/>
                <w:szCs w:val="20"/>
              </w:rPr>
            </w:pPr>
          </w:p>
        </w:tc>
        <w:tc>
          <w:tcPr>
            <w:tcW w:w="865" w:type="dxa"/>
            <w:vMerge w:val="continue"/>
            <w:tcBorders>
              <w:top w:val="single" w:color="auto" w:sz="8" w:space="0"/>
              <w:left w:val="nil"/>
              <w:bottom w:val="single" w:color="000000" w:sz="8" w:space="0"/>
              <w:right w:val="single" w:color="auto" w:sz="8" w:space="0"/>
            </w:tcBorders>
            <w:vAlign w:val="center"/>
          </w:tcPr>
          <w:p>
            <w:pPr>
              <w:widowControl/>
              <w:jc w:val="left"/>
              <w:rPr>
                <w:rFonts w:hint="default" w:ascii="Times New Roman" w:hAnsi="Times New Roman" w:eastAsia="仿宋_GB2312" w:cs="Times New Roman"/>
                <w:b/>
                <w:bCs/>
                <w:color w:val="auto"/>
                <w:kern w:val="0"/>
                <w:sz w:val="20"/>
                <w:szCs w:val="20"/>
              </w:rPr>
            </w:pPr>
          </w:p>
        </w:tc>
        <w:tc>
          <w:tcPr>
            <w:tcW w:w="238" w:type="dxa"/>
            <w:vAlign w:val="center"/>
          </w:tcPr>
          <w:p>
            <w:pPr>
              <w:widowControl/>
              <w:jc w:val="left"/>
              <w:rPr>
                <w:rFonts w:hint="default" w:ascii="Times New Roman" w:hAnsi="Times New Roman" w:eastAsia="Times New Roman" w:cs="Times New Roman"/>
                <w:color w:val="auto"/>
                <w:kern w:val="0"/>
                <w:sz w:val="20"/>
                <w:szCs w:val="20"/>
              </w:rPr>
            </w:pPr>
          </w:p>
        </w:tc>
      </w:tr>
      <w:tr>
        <w:tblPrEx>
          <w:tblCellMar>
            <w:top w:w="0" w:type="dxa"/>
            <w:left w:w="108" w:type="dxa"/>
            <w:bottom w:w="0" w:type="dxa"/>
            <w:right w:w="108" w:type="dxa"/>
          </w:tblCellMar>
        </w:tblPrEx>
        <w:trPr>
          <w:trHeight w:val="300" w:hRule="atLeast"/>
          <w:jc w:val="center"/>
        </w:trPr>
        <w:tc>
          <w:tcPr>
            <w:tcW w:w="10312" w:type="dxa"/>
            <w:gridSpan w:val="6"/>
            <w:tcBorders>
              <w:top w:val="single" w:color="000000" w:sz="8" w:space="0"/>
              <w:left w:val="single" w:color="auto" w:sz="8" w:space="0"/>
              <w:bottom w:val="single" w:color="auto" w:sz="8" w:space="0"/>
              <w:right w:val="single" w:color="000000" w:sz="8" w:space="0"/>
            </w:tcBorders>
            <w:vAlign w:val="center"/>
          </w:tcPr>
          <w:p>
            <w:pPr>
              <w:widowControl/>
              <w:spacing w:line="240" w:lineRule="exact"/>
              <w:jc w:val="left"/>
              <w:rPr>
                <w:rFonts w:hint="default" w:ascii="Times New Roman" w:hAnsi="Times New Roman" w:eastAsia="仿宋_GB2312" w:cs="Times New Roman"/>
                <w:b/>
                <w:bCs/>
                <w:color w:val="auto"/>
                <w:kern w:val="0"/>
                <w:sz w:val="20"/>
                <w:szCs w:val="20"/>
              </w:rPr>
            </w:pPr>
            <w:r>
              <w:rPr>
                <w:rFonts w:hint="default" w:ascii="Times New Roman" w:hAnsi="Times New Roman" w:eastAsia="楷体_GB2312" w:cs="Times New Roman"/>
                <w:b w:val="0"/>
                <w:bCs w:val="0"/>
                <w:color w:val="auto"/>
                <w:kern w:val="0"/>
                <w:sz w:val="24"/>
                <w:szCs w:val="24"/>
              </w:rPr>
              <w:t>合计（项目数5个）</w:t>
            </w:r>
          </w:p>
        </w:tc>
        <w:tc>
          <w:tcPr>
            <w:tcW w:w="961"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b/>
                <w:bCs/>
                <w:color w:val="auto"/>
                <w:kern w:val="0"/>
                <w:sz w:val="20"/>
                <w:szCs w:val="20"/>
              </w:rPr>
            </w:pPr>
          </w:p>
        </w:tc>
        <w:tc>
          <w:tcPr>
            <w:tcW w:w="944"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b/>
                <w:bCs/>
                <w:color w:val="auto"/>
                <w:kern w:val="0"/>
                <w:sz w:val="20"/>
                <w:szCs w:val="20"/>
              </w:rPr>
            </w:pPr>
          </w:p>
        </w:tc>
        <w:tc>
          <w:tcPr>
            <w:tcW w:w="854"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b/>
                <w:bCs/>
                <w:color w:val="auto"/>
                <w:kern w:val="0"/>
                <w:sz w:val="20"/>
                <w:szCs w:val="20"/>
              </w:rPr>
            </w:pPr>
          </w:p>
        </w:tc>
        <w:tc>
          <w:tcPr>
            <w:tcW w:w="865"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b/>
                <w:bCs/>
                <w:color w:val="auto"/>
                <w:kern w:val="0"/>
                <w:sz w:val="20"/>
                <w:szCs w:val="20"/>
              </w:rPr>
            </w:pPr>
            <w:r>
              <w:rPr>
                <w:rFonts w:hint="default" w:ascii="Times New Roman" w:hAnsi="Times New Roman" w:eastAsia="仿宋_GB2312" w:cs="Times New Roman"/>
                <w:b/>
                <w:bCs/>
                <w:color w:val="auto"/>
                <w:kern w:val="0"/>
                <w:sz w:val="20"/>
                <w:szCs w:val="20"/>
              </w:rPr>
              <w:t>　</w:t>
            </w:r>
          </w:p>
        </w:tc>
        <w:tc>
          <w:tcPr>
            <w:tcW w:w="238" w:type="dxa"/>
            <w:vAlign w:val="center"/>
          </w:tcPr>
          <w:p>
            <w:pPr>
              <w:widowControl/>
              <w:jc w:val="left"/>
              <w:rPr>
                <w:rFonts w:hint="default" w:ascii="Times New Roman" w:hAnsi="Times New Roman" w:eastAsia="Times New Roman" w:cs="Times New Roman"/>
                <w:color w:val="auto"/>
                <w:kern w:val="0"/>
                <w:sz w:val="20"/>
                <w:szCs w:val="20"/>
              </w:rPr>
            </w:pPr>
          </w:p>
        </w:tc>
      </w:tr>
      <w:tr>
        <w:tblPrEx>
          <w:tblCellMar>
            <w:top w:w="0" w:type="dxa"/>
            <w:left w:w="108" w:type="dxa"/>
            <w:bottom w:w="0" w:type="dxa"/>
            <w:right w:w="108" w:type="dxa"/>
          </w:tblCellMar>
        </w:tblPrEx>
        <w:trPr>
          <w:trHeight w:val="300" w:hRule="atLeast"/>
          <w:jc w:val="center"/>
        </w:trPr>
        <w:tc>
          <w:tcPr>
            <w:tcW w:w="10312" w:type="dxa"/>
            <w:gridSpan w:val="6"/>
            <w:tcBorders>
              <w:top w:val="single" w:color="auto" w:sz="8" w:space="0"/>
              <w:left w:val="single" w:color="auto" w:sz="8" w:space="0"/>
              <w:bottom w:val="single" w:color="auto" w:sz="8" w:space="0"/>
              <w:right w:val="single" w:color="000000" w:sz="8" w:space="0"/>
            </w:tcBorders>
            <w:vAlign w:val="center"/>
          </w:tcPr>
          <w:p>
            <w:pPr>
              <w:widowControl/>
              <w:spacing w:line="240" w:lineRule="exact"/>
              <w:jc w:val="left"/>
              <w:rPr>
                <w:rFonts w:hint="default" w:ascii="Times New Roman" w:hAnsi="Times New Roman" w:eastAsia="仿宋_GB2312" w:cs="Times New Roman"/>
                <w:b/>
                <w:bCs/>
                <w:color w:val="auto"/>
                <w:kern w:val="0"/>
                <w:sz w:val="20"/>
                <w:szCs w:val="20"/>
              </w:rPr>
            </w:pPr>
            <w:r>
              <w:rPr>
                <w:rFonts w:hint="default" w:ascii="Times New Roman" w:hAnsi="Times New Roman" w:eastAsia="仿宋_GB2312" w:cs="Times New Roman"/>
                <w:b/>
                <w:bCs/>
                <w:color w:val="auto"/>
                <w:kern w:val="0"/>
                <w:sz w:val="20"/>
                <w:szCs w:val="20"/>
              </w:rPr>
              <w:t>一、综合交通</w:t>
            </w:r>
          </w:p>
        </w:tc>
        <w:tc>
          <w:tcPr>
            <w:tcW w:w="961"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b/>
                <w:bCs/>
                <w:color w:val="auto"/>
                <w:kern w:val="0"/>
                <w:sz w:val="20"/>
                <w:szCs w:val="20"/>
              </w:rPr>
            </w:pPr>
          </w:p>
        </w:tc>
        <w:tc>
          <w:tcPr>
            <w:tcW w:w="944" w:type="dxa"/>
            <w:tcBorders>
              <w:top w:val="nil"/>
              <w:left w:val="nil"/>
              <w:right w:val="single" w:color="auto" w:sz="8" w:space="0"/>
            </w:tcBorders>
            <w:vAlign w:val="center"/>
          </w:tcPr>
          <w:p>
            <w:pPr>
              <w:widowControl/>
              <w:spacing w:line="240" w:lineRule="exact"/>
              <w:jc w:val="center"/>
              <w:rPr>
                <w:rFonts w:hint="default" w:ascii="Times New Roman" w:hAnsi="Times New Roman" w:eastAsia="仿宋_GB2312" w:cs="Times New Roman"/>
                <w:b/>
                <w:bCs/>
                <w:color w:val="auto"/>
                <w:kern w:val="0"/>
                <w:sz w:val="20"/>
                <w:szCs w:val="20"/>
              </w:rPr>
            </w:pPr>
          </w:p>
        </w:tc>
        <w:tc>
          <w:tcPr>
            <w:tcW w:w="854" w:type="dxa"/>
            <w:tcBorders>
              <w:top w:val="nil"/>
              <w:left w:val="nil"/>
              <w:right w:val="single" w:color="auto" w:sz="8" w:space="0"/>
            </w:tcBorders>
            <w:vAlign w:val="center"/>
          </w:tcPr>
          <w:p>
            <w:pPr>
              <w:widowControl/>
              <w:spacing w:line="240" w:lineRule="exact"/>
              <w:jc w:val="center"/>
              <w:rPr>
                <w:rFonts w:hint="default" w:ascii="Times New Roman" w:hAnsi="Times New Roman" w:eastAsia="仿宋_GB2312" w:cs="Times New Roman"/>
                <w:b/>
                <w:bCs/>
                <w:color w:val="auto"/>
                <w:kern w:val="0"/>
                <w:sz w:val="20"/>
                <w:szCs w:val="20"/>
              </w:rPr>
            </w:pPr>
          </w:p>
        </w:tc>
        <w:tc>
          <w:tcPr>
            <w:tcW w:w="865" w:type="dxa"/>
            <w:tcBorders>
              <w:top w:val="nil"/>
              <w:left w:val="nil"/>
              <w:right w:val="single" w:color="auto" w:sz="8" w:space="0"/>
            </w:tcBorders>
            <w:vAlign w:val="center"/>
          </w:tcPr>
          <w:p>
            <w:pPr>
              <w:widowControl/>
              <w:spacing w:line="240" w:lineRule="exact"/>
              <w:jc w:val="left"/>
              <w:rPr>
                <w:rFonts w:hint="default" w:ascii="Times New Roman" w:hAnsi="Times New Roman" w:eastAsia="仿宋_GB2312" w:cs="Times New Roman"/>
                <w:b/>
                <w:bCs/>
                <w:color w:val="auto"/>
                <w:kern w:val="0"/>
                <w:sz w:val="20"/>
                <w:szCs w:val="20"/>
              </w:rPr>
            </w:pPr>
            <w:r>
              <w:rPr>
                <w:rFonts w:hint="default" w:ascii="Times New Roman" w:hAnsi="Times New Roman" w:eastAsia="仿宋_GB2312" w:cs="Times New Roman"/>
                <w:b/>
                <w:bCs/>
                <w:color w:val="auto"/>
                <w:kern w:val="0"/>
                <w:sz w:val="20"/>
                <w:szCs w:val="20"/>
              </w:rPr>
              <w:t>　</w:t>
            </w:r>
          </w:p>
        </w:tc>
        <w:tc>
          <w:tcPr>
            <w:tcW w:w="238" w:type="dxa"/>
            <w:vAlign w:val="center"/>
          </w:tcPr>
          <w:p>
            <w:pPr>
              <w:widowControl/>
              <w:jc w:val="left"/>
              <w:rPr>
                <w:rFonts w:hint="default" w:ascii="Times New Roman" w:hAnsi="Times New Roman" w:eastAsia="Times New Roman" w:cs="Times New Roman"/>
                <w:color w:val="auto"/>
                <w:kern w:val="0"/>
                <w:sz w:val="20"/>
                <w:szCs w:val="20"/>
              </w:rPr>
            </w:pPr>
          </w:p>
        </w:tc>
      </w:tr>
      <w:tr>
        <w:tblPrEx>
          <w:tblCellMar>
            <w:top w:w="0" w:type="dxa"/>
            <w:left w:w="108" w:type="dxa"/>
            <w:bottom w:w="0" w:type="dxa"/>
            <w:right w:w="108" w:type="dxa"/>
          </w:tblCellMar>
        </w:tblPrEx>
        <w:trPr>
          <w:trHeight w:val="735" w:hRule="atLeast"/>
          <w:jc w:val="center"/>
        </w:trPr>
        <w:tc>
          <w:tcPr>
            <w:tcW w:w="624" w:type="dxa"/>
            <w:tcBorders>
              <w:top w:val="nil"/>
              <w:left w:val="single" w:color="auto" w:sz="8" w:space="0"/>
              <w:bottom w:val="single" w:color="000000"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1</w:t>
            </w:r>
          </w:p>
        </w:tc>
        <w:tc>
          <w:tcPr>
            <w:tcW w:w="1273" w:type="dxa"/>
            <w:tcBorders>
              <w:top w:val="nil"/>
              <w:left w:val="nil"/>
              <w:bottom w:val="single" w:color="auto" w:sz="8" w:space="0"/>
              <w:right w:val="single" w:color="auto" w:sz="8"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瑞平苍高速</w:t>
            </w:r>
          </w:p>
        </w:tc>
        <w:tc>
          <w:tcPr>
            <w:tcW w:w="834"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新建</w:t>
            </w:r>
          </w:p>
        </w:tc>
        <w:tc>
          <w:tcPr>
            <w:tcW w:w="1041"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平阳、苍南、瑞安、龙港</w:t>
            </w:r>
          </w:p>
        </w:tc>
        <w:tc>
          <w:tcPr>
            <w:tcW w:w="1259" w:type="dxa"/>
            <w:tcBorders>
              <w:top w:val="nil"/>
              <w:left w:val="nil"/>
              <w:bottom w:val="single" w:color="auto" w:sz="8"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2021-2024</w:t>
            </w:r>
          </w:p>
        </w:tc>
        <w:tc>
          <w:tcPr>
            <w:tcW w:w="52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主线全长52.2 公里，双向四车道高速公路。</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159</w:t>
            </w:r>
          </w:p>
        </w:tc>
        <w:tc>
          <w:tcPr>
            <w:tcW w:w="94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0</w:t>
            </w:r>
          </w:p>
        </w:tc>
        <w:tc>
          <w:tcPr>
            <w:tcW w:w="85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159</w:t>
            </w:r>
          </w:p>
        </w:tc>
        <w:tc>
          <w:tcPr>
            <w:tcW w:w="8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谋划中</w:t>
            </w:r>
          </w:p>
        </w:tc>
        <w:tc>
          <w:tcPr>
            <w:tcW w:w="238" w:type="dxa"/>
            <w:tcBorders>
              <w:left w:val="single" w:color="auto" w:sz="4" w:space="0"/>
            </w:tcBorders>
            <w:vAlign w:val="center"/>
          </w:tcPr>
          <w:p>
            <w:pPr>
              <w:widowControl/>
              <w:jc w:val="left"/>
              <w:rPr>
                <w:rFonts w:hint="default" w:ascii="Times New Roman" w:hAnsi="Times New Roman" w:eastAsia="Times New Roman" w:cs="Times New Roman"/>
                <w:color w:val="auto"/>
                <w:kern w:val="0"/>
                <w:sz w:val="20"/>
                <w:szCs w:val="20"/>
              </w:rPr>
            </w:pPr>
          </w:p>
        </w:tc>
      </w:tr>
      <w:tr>
        <w:tblPrEx>
          <w:tblCellMar>
            <w:top w:w="0" w:type="dxa"/>
            <w:left w:w="108" w:type="dxa"/>
            <w:bottom w:w="0" w:type="dxa"/>
            <w:right w:w="108" w:type="dxa"/>
          </w:tblCellMar>
        </w:tblPrEx>
        <w:trPr>
          <w:trHeight w:val="300" w:hRule="atLeast"/>
          <w:jc w:val="center"/>
        </w:trPr>
        <w:tc>
          <w:tcPr>
            <w:tcW w:w="10312" w:type="dxa"/>
            <w:gridSpan w:val="6"/>
            <w:tcBorders>
              <w:top w:val="single" w:color="auto" w:sz="8" w:space="0"/>
              <w:left w:val="single" w:color="auto" w:sz="8" w:space="0"/>
              <w:bottom w:val="single" w:color="auto" w:sz="8" w:space="0"/>
              <w:right w:val="single" w:color="000000" w:sz="8" w:space="0"/>
            </w:tcBorders>
            <w:vAlign w:val="center"/>
          </w:tcPr>
          <w:p>
            <w:pPr>
              <w:widowControl/>
              <w:spacing w:line="240" w:lineRule="exact"/>
              <w:jc w:val="left"/>
              <w:rPr>
                <w:rFonts w:hint="default" w:ascii="Times New Roman" w:hAnsi="Times New Roman" w:eastAsia="仿宋_GB2312" w:cs="Times New Roman"/>
                <w:b/>
                <w:bCs/>
                <w:color w:val="auto"/>
                <w:kern w:val="0"/>
                <w:sz w:val="20"/>
                <w:szCs w:val="20"/>
              </w:rPr>
            </w:pPr>
          </w:p>
        </w:tc>
        <w:tc>
          <w:tcPr>
            <w:tcW w:w="961"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b/>
                <w:bCs/>
                <w:color w:val="auto"/>
                <w:kern w:val="0"/>
                <w:sz w:val="20"/>
                <w:szCs w:val="20"/>
              </w:rPr>
            </w:pPr>
          </w:p>
        </w:tc>
        <w:tc>
          <w:tcPr>
            <w:tcW w:w="944"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b/>
                <w:bCs/>
                <w:color w:val="auto"/>
                <w:kern w:val="0"/>
                <w:sz w:val="20"/>
                <w:szCs w:val="20"/>
              </w:rPr>
            </w:pPr>
          </w:p>
        </w:tc>
        <w:tc>
          <w:tcPr>
            <w:tcW w:w="854"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b/>
                <w:bCs/>
                <w:color w:val="auto"/>
                <w:kern w:val="0"/>
                <w:sz w:val="20"/>
                <w:szCs w:val="20"/>
              </w:rPr>
            </w:pPr>
          </w:p>
        </w:tc>
        <w:tc>
          <w:tcPr>
            <w:tcW w:w="865" w:type="dxa"/>
            <w:tcBorders>
              <w:top w:val="nil"/>
              <w:left w:val="nil"/>
              <w:bottom w:val="single" w:color="auto" w:sz="8" w:space="0"/>
              <w:right w:val="single" w:color="auto" w:sz="8" w:space="0"/>
            </w:tcBorders>
            <w:vAlign w:val="center"/>
          </w:tcPr>
          <w:p>
            <w:pPr>
              <w:widowControl/>
              <w:spacing w:line="240" w:lineRule="exact"/>
              <w:jc w:val="left"/>
              <w:rPr>
                <w:rFonts w:hint="default" w:ascii="Times New Roman" w:hAnsi="Times New Roman" w:eastAsia="仿宋_GB2312" w:cs="Times New Roman"/>
                <w:b/>
                <w:bCs/>
                <w:color w:val="auto"/>
                <w:kern w:val="0"/>
                <w:sz w:val="20"/>
                <w:szCs w:val="20"/>
              </w:rPr>
            </w:pPr>
            <w:r>
              <w:rPr>
                <w:rFonts w:hint="default" w:ascii="Times New Roman" w:hAnsi="Times New Roman" w:eastAsia="仿宋_GB2312" w:cs="Times New Roman"/>
                <w:b/>
                <w:bCs/>
                <w:color w:val="auto"/>
                <w:kern w:val="0"/>
                <w:sz w:val="20"/>
                <w:szCs w:val="20"/>
              </w:rPr>
              <w:t>　</w:t>
            </w:r>
          </w:p>
        </w:tc>
        <w:tc>
          <w:tcPr>
            <w:tcW w:w="238" w:type="dxa"/>
            <w:vAlign w:val="center"/>
          </w:tcPr>
          <w:p>
            <w:pPr>
              <w:widowControl/>
              <w:jc w:val="left"/>
              <w:rPr>
                <w:rFonts w:hint="default" w:ascii="Times New Roman" w:hAnsi="Times New Roman" w:eastAsia="Times New Roman" w:cs="Times New Roman"/>
                <w:color w:val="auto"/>
                <w:kern w:val="0"/>
                <w:sz w:val="20"/>
                <w:szCs w:val="20"/>
              </w:rPr>
            </w:pPr>
          </w:p>
        </w:tc>
      </w:tr>
      <w:tr>
        <w:tblPrEx>
          <w:tblCellMar>
            <w:top w:w="0" w:type="dxa"/>
            <w:left w:w="108" w:type="dxa"/>
            <w:bottom w:w="0" w:type="dxa"/>
            <w:right w:w="108" w:type="dxa"/>
          </w:tblCellMar>
        </w:tblPrEx>
        <w:trPr>
          <w:trHeight w:val="495" w:hRule="atLeast"/>
          <w:jc w:val="center"/>
        </w:trPr>
        <w:tc>
          <w:tcPr>
            <w:tcW w:w="624" w:type="dxa"/>
            <w:tcBorders>
              <w:top w:val="nil"/>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2</w:t>
            </w:r>
          </w:p>
        </w:tc>
        <w:tc>
          <w:tcPr>
            <w:tcW w:w="1273" w:type="dxa"/>
            <w:tcBorders>
              <w:top w:val="nil"/>
              <w:left w:val="nil"/>
              <w:bottom w:val="single" w:color="auto" w:sz="8" w:space="0"/>
              <w:right w:val="single" w:color="auto" w:sz="8"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“畲、鸽、旅”综合体</w:t>
            </w:r>
          </w:p>
        </w:tc>
        <w:tc>
          <w:tcPr>
            <w:tcW w:w="834"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续建</w:t>
            </w:r>
          </w:p>
        </w:tc>
        <w:tc>
          <w:tcPr>
            <w:tcW w:w="1041"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平阳鳌江镇书阁村</w:t>
            </w:r>
          </w:p>
        </w:tc>
        <w:tc>
          <w:tcPr>
            <w:tcW w:w="1259"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2021-2015</w:t>
            </w:r>
          </w:p>
        </w:tc>
        <w:tc>
          <w:tcPr>
            <w:tcW w:w="5281" w:type="dxa"/>
            <w:tcBorders>
              <w:top w:val="nil"/>
              <w:left w:val="nil"/>
              <w:bottom w:val="single" w:color="auto" w:sz="8" w:space="0"/>
              <w:right w:val="single" w:color="auto" w:sz="8"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以全国民族最大鸽业为基础，以“畲汉一家亲”为主线，打造有民族元素荷花池、跑马场、民宿群和鸽子休闲广场。</w:t>
            </w:r>
          </w:p>
        </w:tc>
        <w:tc>
          <w:tcPr>
            <w:tcW w:w="961"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1.5</w:t>
            </w:r>
          </w:p>
        </w:tc>
        <w:tc>
          <w:tcPr>
            <w:tcW w:w="944"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0.5</w:t>
            </w:r>
          </w:p>
        </w:tc>
        <w:tc>
          <w:tcPr>
            <w:tcW w:w="854"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1</w:t>
            </w:r>
          </w:p>
        </w:tc>
        <w:tc>
          <w:tcPr>
            <w:tcW w:w="865"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建设中</w:t>
            </w:r>
          </w:p>
        </w:tc>
        <w:tc>
          <w:tcPr>
            <w:tcW w:w="238" w:type="dxa"/>
            <w:vAlign w:val="center"/>
          </w:tcPr>
          <w:p>
            <w:pPr>
              <w:widowControl/>
              <w:jc w:val="left"/>
              <w:rPr>
                <w:rFonts w:hint="default" w:ascii="Times New Roman" w:hAnsi="Times New Roman" w:eastAsia="Times New Roman" w:cs="Times New Roman"/>
                <w:color w:val="auto"/>
                <w:kern w:val="0"/>
                <w:sz w:val="20"/>
                <w:szCs w:val="20"/>
              </w:rPr>
            </w:pPr>
          </w:p>
        </w:tc>
      </w:tr>
      <w:tr>
        <w:tblPrEx>
          <w:tblCellMar>
            <w:top w:w="0" w:type="dxa"/>
            <w:left w:w="108" w:type="dxa"/>
            <w:bottom w:w="0" w:type="dxa"/>
            <w:right w:w="108" w:type="dxa"/>
          </w:tblCellMar>
        </w:tblPrEx>
        <w:trPr>
          <w:trHeight w:val="735" w:hRule="atLeast"/>
          <w:jc w:val="center"/>
        </w:trPr>
        <w:tc>
          <w:tcPr>
            <w:tcW w:w="624" w:type="dxa"/>
            <w:tcBorders>
              <w:top w:val="nil"/>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3</w:t>
            </w:r>
          </w:p>
        </w:tc>
        <w:tc>
          <w:tcPr>
            <w:tcW w:w="1273" w:type="dxa"/>
            <w:tcBorders>
              <w:top w:val="nil"/>
              <w:left w:val="nil"/>
              <w:bottom w:val="single" w:color="auto" w:sz="8" w:space="0"/>
              <w:right w:val="single" w:color="auto" w:sz="8"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“畲.茶.旅” 田园综合体</w:t>
            </w:r>
          </w:p>
        </w:tc>
        <w:tc>
          <w:tcPr>
            <w:tcW w:w="834"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续建</w:t>
            </w:r>
          </w:p>
        </w:tc>
        <w:tc>
          <w:tcPr>
            <w:tcW w:w="1041"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平阳水头镇新联村</w:t>
            </w:r>
          </w:p>
        </w:tc>
        <w:tc>
          <w:tcPr>
            <w:tcW w:w="1259"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2021-2023</w:t>
            </w:r>
          </w:p>
        </w:tc>
        <w:tc>
          <w:tcPr>
            <w:tcW w:w="5281" w:type="dxa"/>
            <w:tcBorders>
              <w:top w:val="nil"/>
              <w:left w:val="nil"/>
              <w:bottom w:val="single" w:color="auto" w:sz="8" w:space="0"/>
              <w:right w:val="single" w:color="auto" w:sz="8"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以全国著名民族风俗度假为目的地，打造以畲茶旅为主线，建设茶园亮化工程、“茶艺”培训中心、“民族展示馆”和民宿群等为一体的田园综合体。</w:t>
            </w:r>
          </w:p>
        </w:tc>
        <w:tc>
          <w:tcPr>
            <w:tcW w:w="961"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0.94</w:t>
            </w:r>
          </w:p>
        </w:tc>
        <w:tc>
          <w:tcPr>
            <w:tcW w:w="944"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0.2</w:t>
            </w:r>
          </w:p>
        </w:tc>
        <w:tc>
          <w:tcPr>
            <w:tcW w:w="854"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0.74</w:t>
            </w:r>
          </w:p>
        </w:tc>
        <w:tc>
          <w:tcPr>
            <w:tcW w:w="865"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建设中</w:t>
            </w:r>
          </w:p>
        </w:tc>
        <w:tc>
          <w:tcPr>
            <w:tcW w:w="238" w:type="dxa"/>
            <w:vAlign w:val="center"/>
          </w:tcPr>
          <w:p>
            <w:pPr>
              <w:widowControl/>
              <w:jc w:val="left"/>
              <w:rPr>
                <w:rFonts w:hint="default" w:ascii="Times New Roman" w:hAnsi="Times New Roman" w:eastAsia="Times New Roman" w:cs="Times New Roman"/>
                <w:color w:val="auto"/>
                <w:kern w:val="0"/>
                <w:sz w:val="20"/>
                <w:szCs w:val="20"/>
              </w:rPr>
            </w:pPr>
          </w:p>
        </w:tc>
      </w:tr>
      <w:tr>
        <w:tblPrEx>
          <w:tblCellMar>
            <w:top w:w="0" w:type="dxa"/>
            <w:left w:w="108" w:type="dxa"/>
            <w:bottom w:w="0" w:type="dxa"/>
            <w:right w:w="108" w:type="dxa"/>
          </w:tblCellMar>
        </w:tblPrEx>
        <w:trPr>
          <w:trHeight w:val="300" w:hRule="atLeast"/>
          <w:jc w:val="center"/>
        </w:trPr>
        <w:tc>
          <w:tcPr>
            <w:tcW w:w="10312" w:type="dxa"/>
            <w:gridSpan w:val="6"/>
            <w:tcBorders>
              <w:top w:val="single" w:color="auto" w:sz="8" w:space="0"/>
              <w:left w:val="single" w:color="auto" w:sz="8" w:space="0"/>
              <w:bottom w:val="single" w:color="auto" w:sz="8" w:space="0"/>
              <w:right w:val="single" w:color="000000" w:sz="8" w:space="0"/>
            </w:tcBorders>
            <w:vAlign w:val="center"/>
          </w:tcPr>
          <w:p>
            <w:pPr>
              <w:widowControl/>
              <w:spacing w:line="240" w:lineRule="exact"/>
              <w:jc w:val="left"/>
              <w:rPr>
                <w:rFonts w:hint="default" w:ascii="Times New Roman" w:hAnsi="Times New Roman" w:eastAsia="仿宋_GB2312" w:cs="Times New Roman"/>
                <w:b/>
                <w:bCs/>
                <w:color w:val="auto"/>
                <w:kern w:val="0"/>
                <w:sz w:val="20"/>
                <w:szCs w:val="20"/>
              </w:rPr>
            </w:pPr>
            <w:r>
              <w:rPr>
                <w:rFonts w:hint="default" w:ascii="Times New Roman" w:hAnsi="Times New Roman" w:eastAsia="仿宋_GB2312" w:cs="Times New Roman"/>
                <w:b/>
                <w:bCs/>
                <w:color w:val="auto"/>
                <w:kern w:val="0"/>
                <w:sz w:val="20"/>
                <w:szCs w:val="20"/>
              </w:rPr>
              <w:t>三、城乡建设</w:t>
            </w:r>
          </w:p>
        </w:tc>
        <w:tc>
          <w:tcPr>
            <w:tcW w:w="961"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b/>
                <w:bCs/>
                <w:color w:val="auto"/>
                <w:kern w:val="0"/>
                <w:sz w:val="20"/>
                <w:szCs w:val="20"/>
              </w:rPr>
            </w:pPr>
          </w:p>
        </w:tc>
        <w:tc>
          <w:tcPr>
            <w:tcW w:w="944"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b/>
                <w:bCs/>
                <w:color w:val="auto"/>
                <w:kern w:val="0"/>
                <w:sz w:val="20"/>
                <w:szCs w:val="20"/>
              </w:rPr>
            </w:pPr>
          </w:p>
        </w:tc>
        <w:tc>
          <w:tcPr>
            <w:tcW w:w="854"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b/>
                <w:bCs/>
                <w:color w:val="auto"/>
                <w:kern w:val="0"/>
                <w:sz w:val="20"/>
                <w:szCs w:val="20"/>
              </w:rPr>
            </w:pPr>
          </w:p>
        </w:tc>
        <w:tc>
          <w:tcPr>
            <w:tcW w:w="865" w:type="dxa"/>
            <w:tcBorders>
              <w:top w:val="nil"/>
              <w:left w:val="nil"/>
              <w:bottom w:val="single" w:color="auto" w:sz="8" w:space="0"/>
              <w:right w:val="single" w:color="auto" w:sz="8" w:space="0"/>
            </w:tcBorders>
            <w:vAlign w:val="center"/>
          </w:tcPr>
          <w:p>
            <w:pPr>
              <w:widowControl/>
              <w:spacing w:line="240" w:lineRule="exact"/>
              <w:jc w:val="left"/>
              <w:rPr>
                <w:rFonts w:hint="default" w:ascii="Times New Roman" w:hAnsi="Times New Roman" w:eastAsia="仿宋_GB2312" w:cs="Times New Roman"/>
                <w:b/>
                <w:bCs/>
                <w:color w:val="auto"/>
                <w:kern w:val="0"/>
                <w:sz w:val="20"/>
                <w:szCs w:val="20"/>
              </w:rPr>
            </w:pPr>
            <w:r>
              <w:rPr>
                <w:rFonts w:hint="default" w:ascii="Times New Roman" w:hAnsi="Times New Roman" w:eastAsia="仿宋_GB2312" w:cs="Times New Roman"/>
                <w:b/>
                <w:bCs/>
                <w:color w:val="auto"/>
                <w:kern w:val="0"/>
                <w:sz w:val="20"/>
                <w:szCs w:val="20"/>
              </w:rPr>
              <w:t>　</w:t>
            </w:r>
          </w:p>
        </w:tc>
        <w:tc>
          <w:tcPr>
            <w:tcW w:w="238" w:type="dxa"/>
            <w:vAlign w:val="center"/>
          </w:tcPr>
          <w:p>
            <w:pPr>
              <w:widowControl/>
              <w:jc w:val="left"/>
              <w:rPr>
                <w:rFonts w:hint="default" w:ascii="Times New Roman" w:hAnsi="Times New Roman" w:eastAsia="Times New Roman" w:cs="Times New Roman"/>
                <w:color w:val="auto"/>
                <w:kern w:val="0"/>
                <w:sz w:val="20"/>
                <w:szCs w:val="20"/>
              </w:rPr>
            </w:pPr>
          </w:p>
        </w:tc>
      </w:tr>
      <w:tr>
        <w:tblPrEx>
          <w:tblCellMar>
            <w:top w:w="0" w:type="dxa"/>
            <w:left w:w="108" w:type="dxa"/>
            <w:bottom w:w="0" w:type="dxa"/>
            <w:right w:w="108" w:type="dxa"/>
          </w:tblCellMar>
        </w:tblPrEx>
        <w:trPr>
          <w:trHeight w:val="1935" w:hRule="atLeast"/>
          <w:jc w:val="center"/>
        </w:trPr>
        <w:tc>
          <w:tcPr>
            <w:tcW w:w="624" w:type="dxa"/>
            <w:tcBorders>
              <w:top w:val="nil"/>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4</w:t>
            </w:r>
          </w:p>
        </w:tc>
        <w:tc>
          <w:tcPr>
            <w:tcW w:w="1273" w:type="dxa"/>
            <w:tcBorders>
              <w:top w:val="nil"/>
              <w:left w:val="nil"/>
              <w:bottom w:val="single" w:color="auto" w:sz="8" w:space="0"/>
              <w:right w:val="single" w:color="auto" w:sz="8"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“五色融合”民族乡村振兴示范带</w:t>
            </w:r>
          </w:p>
        </w:tc>
        <w:tc>
          <w:tcPr>
            <w:tcW w:w="834"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续建</w:t>
            </w:r>
          </w:p>
        </w:tc>
        <w:tc>
          <w:tcPr>
            <w:tcW w:w="1041"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平阳青街乡、顺溪镇溪南村、南雁镇前山村和堂基村、怀溪镇畲龙村</w:t>
            </w:r>
          </w:p>
        </w:tc>
        <w:tc>
          <w:tcPr>
            <w:tcW w:w="1259"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2021-2025</w:t>
            </w:r>
          </w:p>
        </w:tc>
        <w:tc>
          <w:tcPr>
            <w:tcW w:w="5281" w:type="dxa"/>
            <w:tcBorders>
              <w:top w:val="nil"/>
              <w:left w:val="nil"/>
              <w:bottom w:val="single" w:color="auto" w:sz="8" w:space="0"/>
              <w:right w:val="single" w:color="auto" w:sz="8"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围绕“红、蓝、绿、古、夜”五色资源，以“一个中心线，两个示范带、多个振兴点”，谋划实施全域民族地区高质量发展路径。</w:t>
            </w:r>
          </w:p>
        </w:tc>
        <w:tc>
          <w:tcPr>
            <w:tcW w:w="961"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1</w:t>
            </w:r>
          </w:p>
        </w:tc>
        <w:tc>
          <w:tcPr>
            <w:tcW w:w="944"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0.5</w:t>
            </w:r>
          </w:p>
        </w:tc>
        <w:tc>
          <w:tcPr>
            <w:tcW w:w="854"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0.5</w:t>
            </w:r>
          </w:p>
        </w:tc>
        <w:tc>
          <w:tcPr>
            <w:tcW w:w="865"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建设中</w:t>
            </w:r>
          </w:p>
        </w:tc>
        <w:tc>
          <w:tcPr>
            <w:tcW w:w="238" w:type="dxa"/>
            <w:vAlign w:val="center"/>
          </w:tcPr>
          <w:p>
            <w:pPr>
              <w:widowControl/>
              <w:jc w:val="left"/>
              <w:rPr>
                <w:rFonts w:hint="default" w:ascii="Times New Roman" w:hAnsi="Times New Roman" w:eastAsia="Times New Roman" w:cs="Times New Roman"/>
                <w:color w:val="auto"/>
                <w:kern w:val="0"/>
                <w:sz w:val="20"/>
                <w:szCs w:val="20"/>
              </w:rPr>
            </w:pPr>
          </w:p>
        </w:tc>
      </w:tr>
      <w:tr>
        <w:tblPrEx>
          <w:tblCellMar>
            <w:top w:w="0" w:type="dxa"/>
            <w:left w:w="108" w:type="dxa"/>
            <w:bottom w:w="0" w:type="dxa"/>
            <w:right w:w="108" w:type="dxa"/>
          </w:tblCellMar>
        </w:tblPrEx>
        <w:trPr>
          <w:trHeight w:val="495" w:hRule="atLeast"/>
          <w:jc w:val="center"/>
        </w:trPr>
        <w:tc>
          <w:tcPr>
            <w:tcW w:w="624" w:type="dxa"/>
            <w:tcBorders>
              <w:top w:val="nil"/>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5</w:t>
            </w:r>
          </w:p>
        </w:tc>
        <w:tc>
          <w:tcPr>
            <w:tcW w:w="1273" w:type="dxa"/>
            <w:tcBorders>
              <w:top w:val="nil"/>
              <w:left w:val="nil"/>
              <w:bottom w:val="single" w:color="auto" w:sz="8" w:space="0"/>
              <w:right w:val="single" w:color="auto" w:sz="8"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畲家大舞台</w:t>
            </w:r>
          </w:p>
        </w:tc>
        <w:tc>
          <w:tcPr>
            <w:tcW w:w="834"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新建</w:t>
            </w:r>
          </w:p>
        </w:tc>
        <w:tc>
          <w:tcPr>
            <w:tcW w:w="1041"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平阳青街畲族乡</w:t>
            </w:r>
          </w:p>
        </w:tc>
        <w:tc>
          <w:tcPr>
            <w:tcW w:w="1259"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2021-2021</w:t>
            </w:r>
          </w:p>
        </w:tc>
        <w:tc>
          <w:tcPr>
            <w:tcW w:w="5281" w:type="dxa"/>
            <w:tcBorders>
              <w:top w:val="nil"/>
              <w:left w:val="nil"/>
              <w:bottom w:val="single" w:color="auto" w:sz="8" w:space="0"/>
              <w:right w:val="single" w:color="auto" w:sz="8"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结合青街“月光经济”，围绕青街溪打造畲族传统文化高规格群众参与为一体的大型情景表演。</w:t>
            </w:r>
          </w:p>
        </w:tc>
        <w:tc>
          <w:tcPr>
            <w:tcW w:w="961"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0.05</w:t>
            </w:r>
          </w:p>
        </w:tc>
        <w:tc>
          <w:tcPr>
            <w:tcW w:w="944"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0</w:t>
            </w:r>
          </w:p>
        </w:tc>
        <w:tc>
          <w:tcPr>
            <w:tcW w:w="854"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0.05</w:t>
            </w:r>
          </w:p>
        </w:tc>
        <w:tc>
          <w:tcPr>
            <w:tcW w:w="865" w:type="dxa"/>
            <w:tcBorders>
              <w:top w:val="nil"/>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正在规划</w:t>
            </w:r>
          </w:p>
        </w:tc>
        <w:tc>
          <w:tcPr>
            <w:tcW w:w="238" w:type="dxa"/>
            <w:vAlign w:val="center"/>
          </w:tcPr>
          <w:p>
            <w:pPr>
              <w:widowControl/>
              <w:jc w:val="left"/>
              <w:rPr>
                <w:rFonts w:hint="default" w:ascii="Times New Roman" w:hAnsi="Times New Roman" w:eastAsia="Times New Roman" w:cs="Times New Roman"/>
                <w:color w:val="auto"/>
                <w:kern w:val="0"/>
                <w:sz w:val="20"/>
                <w:szCs w:val="20"/>
              </w:rPr>
            </w:pPr>
          </w:p>
        </w:tc>
      </w:tr>
    </w:tbl>
    <w:p>
      <w:pPr>
        <w:widowControl/>
        <w:spacing w:line="600" w:lineRule="exact"/>
        <w:ind w:firstLine="640" w:firstLineChars="200"/>
        <w:rPr>
          <w:rFonts w:hint="default" w:ascii="Times New Roman" w:hAnsi="Times New Roman" w:eastAsia="仿宋_GB2312" w:cs="Times New Roman"/>
          <w:color w:val="auto"/>
          <w:sz w:val="32"/>
          <w:szCs w:val="32"/>
        </w:rPr>
      </w:pPr>
    </w:p>
    <w:sectPr>
      <w:pgSz w:w="16838" w:h="11906" w:orient="landscape"/>
      <w:pgMar w:top="1701" w:right="1440" w:bottom="158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3697857"/>
    </w:sdtPr>
    <w:sdtContent>
      <w:p>
        <w:pPr>
          <w:pStyle w:val="9"/>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4F2233"/>
    <w:multiLevelType w:val="singleLevel"/>
    <w:tmpl w:val="D14F2233"/>
    <w:lvl w:ilvl="0" w:tentative="0">
      <w:start w:val="1"/>
      <w:numFmt w:val="chineseCounting"/>
      <w:suff w:val="nothing"/>
      <w:lvlText w:val="%1、"/>
      <w:lvlJc w:val="left"/>
      <w:rPr>
        <w:rFonts w:hint="eastAsia"/>
        <w:lang w:val="en-US"/>
      </w:rPr>
    </w:lvl>
  </w:abstractNum>
  <w:abstractNum w:abstractNumId="1">
    <w:nsid w:val="7D4D51EC"/>
    <w:multiLevelType w:val="multilevel"/>
    <w:tmpl w:val="7D4D51EC"/>
    <w:lvl w:ilvl="0" w:tentative="0">
      <w:start w:val="1"/>
      <w:numFmt w:val="japaneseCounting"/>
      <w:lvlText w:val="第%1章"/>
      <w:lvlJc w:val="left"/>
      <w:pPr>
        <w:ind w:left="1305" w:hanging="1125"/>
      </w:pPr>
      <w:rPr>
        <w:rFonts w:hint="eastAsia"/>
        <w:b w:val="0"/>
        <w:bCs w:val="0"/>
      </w:rPr>
    </w:lvl>
    <w:lvl w:ilvl="1" w:tentative="0">
      <w:start w:val="1"/>
      <w:numFmt w:val="japaneseCounting"/>
      <w:lvlText w:val="%2、"/>
      <w:lvlJc w:val="left"/>
      <w:pPr>
        <w:ind w:left="1287" w:hanging="720"/>
      </w:pPr>
      <w:rPr>
        <w:rFonts w:hint="default"/>
        <w:color w:val="000000" w:themeColor="text1"/>
        <w14:textFill>
          <w14:solidFill>
            <w14:schemeClr w14:val="tx1"/>
          </w14:solidFill>
        </w14:textFill>
      </w:rPr>
    </w:lvl>
    <w:lvl w:ilvl="2" w:tentative="0">
      <w:start w:val="1"/>
      <w:numFmt w:val="lowerRoman"/>
      <w:lvlText w:val="%3."/>
      <w:lvlJc w:val="right"/>
      <w:pPr>
        <w:ind w:left="1440" w:hanging="420"/>
      </w:pPr>
    </w:lvl>
    <w:lvl w:ilvl="3" w:tentative="0">
      <w:start w:val="1"/>
      <w:numFmt w:val="decimal"/>
      <w:lvlText w:val="%4."/>
      <w:lvlJc w:val="left"/>
      <w:pPr>
        <w:ind w:left="1860" w:hanging="420"/>
      </w:pPr>
    </w:lvl>
    <w:lvl w:ilvl="4" w:tentative="0">
      <w:start w:val="1"/>
      <w:numFmt w:val="lowerLetter"/>
      <w:lvlText w:val="%5)"/>
      <w:lvlJc w:val="left"/>
      <w:pPr>
        <w:ind w:left="2280" w:hanging="420"/>
      </w:pPr>
    </w:lvl>
    <w:lvl w:ilvl="5" w:tentative="0">
      <w:start w:val="1"/>
      <w:numFmt w:val="lowerRoman"/>
      <w:lvlText w:val="%6."/>
      <w:lvlJc w:val="right"/>
      <w:pPr>
        <w:ind w:left="2700" w:hanging="420"/>
      </w:pPr>
    </w:lvl>
    <w:lvl w:ilvl="6" w:tentative="0">
      <w:start w:val="1"/>
      <w:numFmt w:val="decimal"/>
      <w:lvlText w:val="%7."/>
      <w:lvlJc w:val="left"/>
      <w:pPr>
        <w:ind w:left="3120" w:hanging="420"/>
      </w:pPr>
    </w:lvl>
    <w:lvl w:ilvl="7" w:tentative="0">
      <w:start w:val="1"/>
      <w:numFmt w:val="lowerLetter"/>
      <w:lvlText w:val="%8)"/>
      <w:lvlJc w:val="left"/>
      <w:pPr>
        <w:ind w:left="3540" w:hanging="420"/>
      </w:pPr>
    </w:lvl>
    <w:lvl w:ilvl="8" w:tentative="0">
      <w:start w:val="1"/>
      <w:numFmt w:val="lowerRoman"/>
      <w:lvlText w:val="%9."/>
      <w:lvlJc w:val="right"/>
      <w:pPr>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4NWFjMTFiYzk5YWQ0OWRiZDI3MzMyYjc1ZmY4NDMifQ=="/>
    <w:docVar w:name="KSO_WPS_MARK_KEY" w:val="40ee430e-1162-4038-bb64-ca847cdbf62d"/>
  </w:docVars>
  <w:rsids>
    <w:rsidRoot w:val="001C3007"/>
    <w:rsid w:val="000023BB"/>
    <w:rsid w:val="00002F1F"/>
    <w:rsid w:val="00005A99"/>
    <w:rsid w:val="00025DF9"/>
    <w:rsid w:val="00037B03"/>
    <w:rsid w:val="00043CEC"/>
    <w:rsid w:val="00047663"/>
    <w:rsid w:val="00047C1A"/>
    <w:rsid w:val="00053438"/>
    <w:rsid w:val="00053FD0"/>
    <w:rsid w:val="00074EC5"/>
    <w:rsid w:val="00086E32"/>
    <w:rsid w:val="00094320"/>
    <w:rsid w:val="000B1D7B"/>
    <w:rsid w:val="000D32DA"/>
    <w:rsid w:val="000D6887"/>
    <w:rsid w:val="000D6BBA"/>
    <w:rsid w:val="000D7551"/>
    <w:rsid w:val="000E10DC"/>
    <w:rsid w:val="000E3D5F"/>
    <w:rsid w:val="000F0AF1"/>
    <w:rsid w:val="000F1783"/>
    <w:rsid w:val="0012140D"/>
    <w:rsid w:val="00122C76"/>
    <w:rsid w:val="001231D6"/>
    <w:rsid w:val="00146351"/>
    <w:rsid w:val="0014749B"/>
    <w:rsid w:val="0015098F"/>
    <w:rsid w:val="00165136"/>
    <w:rsid w:val="00172F4E"/>
    <w:rsid w:val="001774DF"/>
    <w:rsid w:val="0017751D"/>
    <w:rsid w:val="00187EC0"/>
    <w:rsid w:val="00194483"/>
    <w:rsid w:val="00196864"/>
    <w:rsid w:val="001B020B"/>
    <w:rsid w:val="001B07C5"/>
    <w:rsid w:val="001C3007"/>
    <w:rsid w:val="001C5AFB"/>
    <w:rsid w:val="001D0FDD"/>
    <w:rsid w:val="001E1E49"/>
    <w:rsid w:val="001F2FDE"/>
    <w:rsid w:val="002015FF"/>
    <w:rsid w:val="0020431A"/>
    <w:rsid w:val="0021198C"/>
    <w:rsid w:val="00233A02"/>
    <w:rsid w:val="00240133"/>
    <w:rsid w:val="00255687"/>
    <w:rsid w:val="002619CB"/>
    <w:rsid w:val="00265AF7"/>
    <w:rsid w:val="0028496E"/>
    <w:rsid w:val="002863B1"/>
    <w:rsid w:val="0029759A"/>
    <w:rsid w:val="002A7431"/>
    <w:rsid w:val="002A7513"/>
    <w:rsid w:val="002B4556"/>
    <w:rsid w:val="002C1152"/>
    <w:rsid w:val="002D1999"/>
    <w:rsid w:val="002D52F5"/>
    <w:rsid w:val="002F5748"/>
    <w:rsid w:val="002F5E32"/>
    <w:rsid w:val="00303657"/>
    <w:rsid w:val="003038B6"/>
    <w:rsid w:val="0032022B"/>
    <w:rsid w:val="003215C1"/>
    <w:rsid w:val="00327D44"/>
    <w:rsid w:val="00331C7E"/>
    <w:rsid w:val="00332307"/>
    <w:rsid w:val="00333999"/>
    <w:rsid w:val="003370BD"/>
    <w:rsid w:val="00346477"/>
    <w:rsid w:val="00354ACD"/>
    <w:rsid w:val="00360756"/>
    <w:rsid w:val="00375425"/>
    <w:rsid w:val="003809CB"/>
    <w:rsid w:val="00382E96"/>
    <w:rsid w:val="003A0DD5"/>
    <w:rsid w:val="003B069B"/>
    <w:rsid w:val="003B06ED"/>
    <w:rsid w:val="003B5D6E"/>
    <w:rsid w:val="003B7B59"/>
    <w:rsid w:val="003C2682"/>
    <w:rsid w:val="003D2D63"/>
    <w:rsid w:val="003E221F"/>
    <w:rsid w:val="004025FA"/>
    <w:rsid w:val="00406434"/>
    <w:rsid w:val="00426DD8"/>
    <w:rsid w:val="00445F22"/>
    <w:rsid w:val="0044770A"/>
    <w:rsid w:val="004509EB"/>
    <w:rsid w:val="00455E25"/>
    <w:rsid w:val="00460F12"/>
    <w:rsid w:val="004655C0"/>
    <w:rsid w:val="0046653C"/>
    <w:rsid w:val="00475987"/>
    <w:rsid w:val="00487C63"/>
    <w:rsid w:val="00491E17"/>
    <w:rsid w:val="004960F7"/>
    <w:rsid w:val="004A32BE"/>
    <w:rsid w:val="004A73A6"/>
    <w:rsid w:val="004A78DE"/>
    <w:rsid w:val="004B65AE"/>
    <w:rsid w:val="004B7720"/>
    <w:rsid w:val="004C09DF"/>
    <w:rsid w:val="004C45CE"/>
    <w:rsid w:val="004C7CDE"/>
    <w:rsid w:val="004D5243"/>
    <w:rsid w:val="0050397A"/>
    <w:rsid w:val="005478E0"/>
    <w:rsid w:val="0055268C"/>
    <w:rsid w:val="00552DA4"/>
    <w:rsid w:val="0055306C"/>
    <w:rsid w:val="005632D7"/>
    <w:rsid w:val="005823C1"/>
    <w:rsid w:val="00583BAF"/>
    <w:rsid w:val="005A01FE"/>
    <w:rsid w:val="005A3636"/>
    <w:rsid w:val="005A6CD1"/>
    <w:rsid w:val="005B04B0"/>
    <w:rsid w:val="005B2CAC"/>
    <w:rsid w:val="005B798A"/>
    <w:rsid w:val="005C5C3A"/>
    <w:rsid w:val="005C746D"/>
    <w:rsid w:val="005D434C"/>
    <w:rsid w:val="005E1CF1"/>
    <w:rsid w:val="005E5732"/>
    <w:rsid w:val="005F33CA"/>
    <w:rsid w:val="00604035"/>
    <w:rsid w:val="00605CDA"/>
    <w:rsid w:val="00611D75"/>
    <w:rsid w:val="00627D67"/>
    <w:rsid w:val="0064352F"/>
    <w:rsid w:val="00651192"/>
    <w:rsid w:val="00652CB0"/>
    <w:rsid w:val="006532C7"/>
    <w:rsid w:val="00664AD4"/>
    <w:rsid w:val="00665F58"/>
    <w:rsid w:val="00675EF0"/>
    <w:rsid w:val="00676CDC"/>
    <w:rsid w:val="006A17F9"/>
    <w:rsid w:val="006B4688"/>
    <w:rsid w:val="006B56F6"/>
    <w:rsid w:val="006B7430"/>
    <w:rsid w:val="006C437C"/>
    <w:rsid w:val="006C6CC0"/>
    <w:rsid w:val="006C7F86"/>
    <w:rsid w:val="006D547E"/>
    <w:rsid w:val="006D75E9"/>
    <w:rsid w:val="006E5806"/>
    <w:rsid w:val="006F3C21"/>
    <w:rsid w:val="0070014D"/>
    <w:rsid w:val="00716156"/>
    <w:rsid w:val="00750E30"/>
    <w:rsid w:val="00754FF9"/>
    <w:rsid w:val="00756FB2"/>
    <w:rsid w:val="007603F6"/>
    <w:rsid w:val="00761F68"/>
    <w:rsid w:val="00784F6E"/>
    <w:rsid w:val="00785D28"/>
    <w:rsid w:val="00786BFE"/>
    <w:rsid w:val="00791950"/>
    <w:rsid w:val="00795AB3"/>
    <w:rsid w:val="007960DD"/>
    <w:rsid w:val="007B0E6F"/>
    <w:rsid w:val="007B6A7F"/>
    <w:rsid w:val="007D65D0"/>
    <w:rsid w:val="007E2004"/>
    <w:rsid w:val="007E23ED"/>
    <w:rsid w:val="007E2601"/>
    <w:rsid w:val="007E6784"/>
    <w:rsid w:val="007E6AC7"/>
    <w:rsid w:val="007F3C15"/>
    <w:rsid w:val="008029D1"/>
    <w:rsid w:val="0080518C"/>
    <w:rsid w:val="00814D11"/>
    <w:rsid w:val="00817949"/>
    <w:rsid w:val="00835B66"/>
    <w:rsid w:val="00881DD2"/>
    <w:rsid w:val="008834EB"/>
    <w:rsid w:val="00885164"/>
    <w:rsid w:val="008851C4"/>
    <w:rsid w:val="008864A1"/>
    <w:rsid w:val="00887BEE"/>
    <w:rsid w:val="00887E7A"/>
    <w:rsid w:val="00891102"/>
    <w:rsid w:val="00896E11"/>
    <w:rsid w:val="008A7C13"/>
    <w:rsid w:val="008B364F"/>
    <w:rsid w:val="008C7212"/>
    <w:rsid w:val="008D7097"/>
    <w:rsid w:val="008F782F"/>
    <w:rsid w:val="00900D20"/>
    <w:rsid w:val="0090743A"/>
    <w:rsid w:val="0091216E"/>
    <w:rsid w:val="009235A0"/>
    <w:rsid w:val="0092463F"/>
    <w:rsid w:val="00931FEF"/>
    <w:rsid w:val="009477E5"/>
    <w:rsid w:val="00950B1A"/>
    <w:rsid w:val="0095421C"/>
    <w:rsid w:val="0095478F"/>
    <w:rsid w:val="00965785"/>
    <w:rsid w:val="009822E7"/>
    <w:rsid w:val="00983460"/>
    <w:rsid w:val="009879EA"/>
    <w:rsid w:val="009A18AC"/>
    <w:rsid w:val="009A4200"/>
    <w:rsid w:val="009A5B56"/>
    <w:rsid w:val="009B14A5"/>
    <w:rsid w:val="009B484F"/>
    <w:rsid w:val="009C1C54"/>
    <w:rsid w:val="009E5137"/>
    <w:rsid w:val="00A00D8D"/>
    <w:rsid w:val="00A323FF"/>
    <w:rsid w:val="00A36ABE"/>
    <w:rsid w:val="00A42ABF"/>
    <w:rsid w:val="00A476EA"/>
    <w:rsid w:val="00A51D10"/>
    <w:rsid w:val="00A5623C"/>
    <w:rsid w:val="00A708B0"/>
    <w:rsid w:val="00A80BD3"/>
    <w:rsid w:val="00A93110"/>
    <w:rsid w:val="00AB11C2"/>
    <w:rsid w:val="00AB20CE"/>
    <w:rsid w:val="00AC52F0"/>
    <w:rsid w:val="00AD3380"/>
    <w:rsid w:val="00AF456D"/>
    <w:rsid w:val="00B03B6F"/>
    <w:rsid w:val="00B13F45"/>
    <w:rsid w:val="00B1524C"/>
    <w:rsid w:val="00B2406C"/>
    <w:rsid w:val="00B30245"/>
    <w:rsid w:val="00B470C5"/>
    <w:rsid w:val="00B54D37"/>
    <w:rsid w:val="00B5602E"/>
    <w:rsid w:val="00B83A31"/>
    <w:rsid w:val="00B93F8B"/>
    <w:rsid w:val="00B973FC"/>
    <w:rsid w:val="00BA6DAB"/>
    <w:rsid w:val="00BB083F"/>
    <w:rsid w:val="00BB3AE9"/>
    <w:rsid w:val="00BC00A7"/>
    <w:rsid w:val="00BC25BA"/>
    <w:rsid w:val="00BD11D3"/>
    <w:rsid w:val="00BD469A"/>
    <w:rsid w:val="00BD5BF4"/>
    <w:rsid w:val="00BD64E7"/>
    <w:rsid w:val="00BD731F"/>
    <w:rsid w:val="00BD7AC0"/>
    <w:rsid w:val="00BE03C9"/>
    <w:rsid w:val="00BE543E"/>
    <w:rsid w:val="00BE709A"/>
    <w:rsid w:val="00BF5436"/>
    <w:rsid w:val="00BF5E40"/>
    <w:rsid w:val="00C02098"/>
    <w:rsid w:val="00C0267D"/>
    <w:rsid w:val="00C06F91"/>
    <w:rsid w:val="00C0776A"/>
    <w:rsid w:val="00C10CBB"/>
    <w:rsid w:val="00C31AA1"/>
    <w:rsid w:val="00C35A22"/>
    <w:rsid w:val="00C42FFE"/>
    <w:rsid w:val="00C445FA"/>
    <w:rsid w:val="00C53C57"/>
    <w:rsid w:val="00C63CEE"/>
    <w:rsid w:val="00C67FE9"/>
    <w:rsid w:val="00C71BA4"/>
    <w:rsid w:val="00C97318"/>
    <w:rsid w:val="00C97EE4"/>
    <w:rsid w:val="00CB0612"/>
    <w:rsid w:val="00CC11BD"/>
    <w:rsid w:val="00CD0BA6"/>
    <w:rsid w:val="00CD5B9E"/>
    <w:rsid w:val="00CD734B"/>
    <w:rsid w:val="00D02E7C"/>
    <w:rsid w:val="00D047EE"/>
    <w:rsid w:val="00D05E32"/>
    <w:rsid w:val="00D24347"/>
    <w:rsid w:val="00D34F26"/>
    <w:rsid w:val="00D423B0"/>
    <w:rsid w:val="00D427B4"/>
    <w:rsid w:val="00D45F19"/>
    <w:rsid w:val="00D4739E"/>
    <w:rsid w:val="00D531EA"/>
    <w:rsid w:val="00D53FDE"/>
    <w:rsid w:val="00D70D1D"/>
    <w:rsid w:val="00D80213"/>
    <w:rsid w:val="00D84282"/>
    <w:rsid w:val="00D84333"/>
    <w:rsid w:val="00D87754"/>
    <w:rsid w:val="00DA34B1"/>
    <w:rsid w:val="00DB2061"/>
    <w:rsid w:val="00DD757F"/>
    <w:rsid w:val="00DE6F05"/>
    <w:rsid w:val="00DF644E"/>
    <w:rsid w:val="00E00126"/>
    <w:rsid w:val="00E0134C"/>
    <w:rsid w:val="00E056DD"/>
    <w:rsid w:val="00E06105"/>
    <w:rsid w:val="00E11FB4"/>
    <w:rsid w:val="00E169E3"/>
    <w:rsid w:val="00E36AF2"/>
    <w:rsid w:val="00E37EEE"/>
    <w:rsid w:val="00E415D9"/>
    <w:rsid w:val="00E41B2A"/>
    <w:rsid w:val="00E62701"/>
    <w:rsid w:val="00E62F65"/>
    <w:rsid w:val="00E6471D"/>
    <w:rsid w:val="00E73843"/>
    <w:rsid w:val="00E87F4C"/>
    <w:rsid w:val="00E91A3E"/>
    <w:rsid w:val="00EB7A4F"/>
    <w:rsid w:val="00EE3B8F"/>
    <w:rsid w:val="00EF3F6B"/>
    <w:rsid w:val="00EF47F5"/>
    <w:rsid w:val="00F055A9"/>
    <w:rsid w:val="00F21538"/>
    <w:rsid w:val="00F22C9C"/>
    <w:rsid w:val="00F26389"/>
    <w:rsid w:val="00F3413F"/>
    <w:rsid w:val="00F37856"/>
    <w:rsid w:val="00F37D9A"/>
    <w:rsid w:val="00F532DC"/>
    <w:rsid w:val="00F62F26"/>
    <w:rsid w:val="00F80E8B"/>
    <w:rsid w:val="00F812F3"/>
    <w:rsid w:val="00F84933"/>
    <w:rsid w:val="00F90DD1"/>
    <w:rsid w:val="00FB7A49"/>
    <w:rsid w:val="00FC1477"/>
    <w:rsid w:val="00FD11D6"/>
    <w:rsid w:val="00FE3223"/>
    <w:rsid w:val="00FE4CF2"/>
    <w:rsid w:val="00FE6E22"/>
    <w:rsid w:val="00FE7919"/>
    <w:rsid w:val="022B59DE"/>
    <w:rsid w:val="043E6A04"/>
    <w:rsid w:val="04734F25"/>
    <w:rsid w:val="057C76DB"/>
    <w:rsid w:val="07FE3946"/>
    <w:rsid w:val="093F2904"/>
    <w:rsid w:val="0A2B7010"/>
    <w:rsid w:val="0A881E9D"/>
    <w:rsid w:val="0B6E19AC"/>
    <w:rsid w:val="0B972231"/>
    <w:rsid w:val="0CC06FBF"/>
    <w:rsid w:val="0E794AEB"/>
    <w:rsid w:val="0F315E8A"/>
    <w:rsid w:val="0F440BCE"/>
    <w:rsid w:val="0FA274D0"/>
    <w:rsid w:val="12B80E76"/>
    <w:rsid w:val="147C7AAD"/>
    <w:rsid w:val="14911F11"/>
    <w:rsid w:val="17637F17"/>
    <w:rsid w:val="17A21704"/>
    <w:rsid w:val="194B6588"/>
    <w:rsid w:val="195260ED"/>
    <w:rsid w:val="23466214"/>
    <w:rsid w:val="2AD4150D"/>
    <w:rsid w:val="2F5A2A5E"/>
    <w:rsid w:val="305929F8"/>
    <w:rsid w:val="337939E7"/>
    <w:rsid w:val="346D2E69"/>
    <w:rsid w:val="365C796D"/>
    <w:rsid w:val="398D7230"/>
    <w:rsid w:val="39DF202B"/>
    <w:rsid w:val="3BB64132"/>
    <w:rsid w:val="3D8B2142"/>
    <w:rsid w:val="3DF6522D"/>
    <w:rsid w:val="3F4B587F"/>
    <w:rsid w:val="3FE20C1F"/>
    <w:rsid w:val="40352217"/>
    <w:rsid w:val="40BF56D8"/>
    <w:rsid w:val="4417572E"/>
    <w:rsid w:val="45B05E8C"/>
    <w:rsid w:val="466C139A"/>
    <w:rsid w:val="47EF3E7B"/>
    <w:rsid w:val="486F2846"/>
    <w:rsid w:val="4B7E315B"/>
    <w:rsid w:val="4C336CD5"/>
    <w:rsid w:val="4E0C0F17"/>
    <w:rsid w:val="4EB51FC3"/>
    <w:rsid w:val="4F145998"/>
    <w:rsid w:val="4F524DA1"/>
    <w:rsid w:val="507130A4"/>
    <w:rsid w:val="51133DDE"/>
    <w:rsid w:val="52DF7133"/>
    <w:rsid w:val="53BC3B76"/>
    <w:rsid w:val="55DA45EC"/>
    <w:rsid w:val="565D76AF"/>
    <w:rsid w:val="587144D3"/>
    <w:rsid w:val="58F851D5"/>
    <w:rsid w:val="5C12567A"/>
    <w:rsid w:val="5D6A5278"/>
    <w:rsid w:val="5DE804BC"/>
    <w:rsid w:val="61C4635A"/>
    <w:rsid w:val="62D11513"/>
    <w:rsid w:val="67C315EE"/>
    <w:rsid w:val="67D15A20"/>
    <w:rsid w:val="68F5522F"/>
    <w:rsid w:val="69E74103"/>
    <w:rsid w:val="6AB00DB7"/>
    <w:rsid w:val="6B322DC7"/>
    <w:rsid w:val="6CCF0C5A"/>
    <w:rsid w:val="71F0612C"/>
    <w:rsid w:val="72957416"/>
    <w:rsid w:val="73FA75E8"/>
    <w:rsid w:val="761D4FF3"/>
    <w:rsid w:val="773136B4"/>
    <w:rsid w:val="79174484"/>
    <w:rsid w:val="7C1B283D"/>
    <w:rsid w:val="7CE35679"/>
    <w:rsid w:val="7DA739E7"/>
    <w:rsid w:val="7F1B79B7"/>
    <w:rsid w:val="CF7F82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0"/>
    <w:pPr>
      <w:keepNext/>
      <w:keepLines/>
      <w:spacing w:before="340" w:after="330" w:line="576" w:lineRule="auto"/>
      <w:outlineLvl w:val="0"/>
    </w:pPr>
    <w:rPr>
      <w:b/>
      <w:kern w:val="44"/>
      <w:sz w:val="44"/>
      <w:szCs w:val="20"/>
    </w:rPr>
  </w:style>
  <w:style w:type="paragraph" w:styleId="3">
    <w:name w:val="heading 2"/>
    <w:basedOn w:val="1"/>
    <w:next w:val="1"/>
    <w:link w:val="34"/>
    <w:qFormat/>
    <w:uiPriority w:val="0"/>
    <w:pPr>
      <w:keepNext/>
      <w:keepLines/>
      <w:spacing w:before="260" w:after="260" w:line="415" w:lineRule="auto"/>
      <w:outlineLvl w:val="1"/>
    </w:pPr>
    <w:rPr>
      <w:rFonts w:ascii="Arial" w:hAnsi="Arial" w:eastAsia="黑体"/>
      <w:b/>
      <w:sz w:val="32"/>
      <w:szCs w:val="20"/>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1"/>
    <w:qFormat/>
    <w:uiPriority w:val="0"/>
    <w:rPr>
      <w:rFonts w:ascii="宋体"/>
      <w:sz w:val="18"/>
      <w:szCs w:val="18"/>
    </w:rPr>
  </w:style>
  <w:style w:type="paragraph" w:styleId="5">
    <w:name w:val="Body Text"/>
    <w:basedOn w:val="1"/>
    <w:link w:val="32"/>
    <w:qFormat/>
    <w:uiPriority w:val="0"/>
    <w:pPr>
      <w:spacing w:after="120"/>
    </w:pPr>
  </w:style>
  <w:style w:type="paragraph" w:styleId="6">
    <w:name w:val="Block Text"/>
    <w:basedOn w:val="1"/>
    <w:unhideWhenUsed/>
    <w:qFormat/>
    <w:uiPriority w:val="99"/>
    <w:pPr>
      <w:spacing w:after="120"/>
      <w:ind w:left="1440" w:leftChars="700" w:right="700" w:rightChars="700"/>
    </w:pPr>
    <w:rPr>
      <w:rFonts w:asciiTheme="minorHAnsi" w:hAnsiTheme="minorHAnsi" w:eastAsiaTheme="minorEastAsia" w:cstheme="minorBidi"/>
    </w:rPr>
  </w:style>
  <w:style w:type="paragraph" w:styleId="7">
    <w:name w:val="Date"/>
    <w:basedOn w:val="1"/>
    <w:next w:val="1"/>
    <w:link w:val="24"/>
    <w:qFormat/>
    <w:uiPriority w:val="0"/>
    <w:pPr>
      <w:ind w:left="100" w:leftChars="2500"/>
    </w:pPr>
  </w:style>
  <w:style w:type="paragraph" w:styleId="8">
    <w:name w:val="Balloon Text"/>
    <w:basedOn w:val="1"/>
    <w:link w:val="26"/>
    <w:qFormat/>
    <w:uiPriority w:val="0"/>
    <w:rPr>
      <w:sz w:val="18"/>
      <w:szCs w:val="18"/>
    </w:rPr>
  </w:style>
  <w:style w:type="paragraph" w:styleId="9">
    <w:name w:val="footer"/>
    <w:basedOn w:val="1"/>
    <w:link w:val="30"/>
    <w:qFormat/>
    <w:uiPriority w:val="99"/>
    <w:pPr>
      <w:tabs>
        <w:tab w:val="center" w:pos="4153"/>
        <w:tab w:val="right" w:pos="8306"/>
      </w:tabs>
      <w:snapToGrid w:val="0"/>
      <w:jc w:val="left"/>
    </w:pPr>
    <w:rPr>
      <w:sz w:val="18"/>
      <w:szCs w:val="18"/>
    </w:rPr>
  </w:style>
  <w:style w:type="paragraph" w:styleId="10">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paragraph" w:styleId="13">
    <w:name w:val="Normal (Web)"/>
    <w:basedOn w:val="1"/>
    <w:qFormat/>
    <w:uiPriority w:val="99"/>
    <w:pPr>
      <w:jc w:val="left"/>
    </w:pPr>
    <w:rPr>
      <w:rFonts w:ascii="Calibri" w:hAnsi="Calibri" w:cs="Calibri"/>
      <w:kern w:val="0"/>
      <w:sz w:val="24"/>
    </w:rPr>
  </w:style>
  <w:style w:type="paragraph" w:styleId="14">
    <w:name w:val="Body Text First Indent"/>
    <w:basedOn w:val="5"/>
    <w:link w:val="33"/>
    <w:qFormat/>
    <w:uiPriority w:val="0"/>
    <w:pPr>
      <w:spacing w:after="0" w:line="500" w:lineRule="exact"/>
      <w:ind w:left="120" w:firstLine="420"/>
    </w:pPr>
    <w:rPr>
      <w:rFonts w:ascii="宋体" w:hAnsi="宋体" w:cs="宋体"/>
      <w:sz w:val="28"/>
      <w:szCs w:val="20"/>
      <w:lang w:val="zh-CN"/>
    </w:rPr>
  </w:style>
  <w:style w:type="table" w:styleId="16">
    <w:name w:val="Table Grid"/>
    <w:basedOn w:val="15"/>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rPr>
  </w:style>
  <w:style w:type="character" w:styleId="19">
    <w:name w:val="FollowedHyperlink"/>
    <w:basedOn w:val="17"/>
    <w:qFormat/>
    <w:uiPriority w:val="0"/>
    <w:rPr>
      <w:color w:val="333333"/>
      <w:u w:val="none"/>
    </w:rPr>
  </w:style>
  <w:style w:type="character" w:styleId="20">
    <w:name w:val="Hyperlink"/>
    <w:basedOn w:val="17"/>
    <w:qFormat/>
    <w:uiPriority w:val="99"/>
    <w:rPr>
      <w:color w:val="333333"/>
      <w:u w:val="none"/>
    </w:rPr>
  </w:style>
  <w:style w:type="character" w:customStyle="1" w:styleId="21">
    <w:name w:val="文档结构图 Char"/>
    <w:basedOn w:val="17"/>
    <w:link w:val="4"/>
    <w:qFormat/>
    <w:uiPriority w:val="0"/>
    <w:rPr>
      <w:rFonts w:ascii="宋体" w:hAnsi="Times New Roman"/>
      <w:kern w:val="2"/>
      <w:sz w:val="18"/>
      <w:szCs w:val="18"/>
    </w:rPr>
  </w:style>
  <w:style w:type="character" w:customStyle="1" w:styleId="22">
    <w:name w:val="页眉 Char"/>
    <w:basedOn w:val="17"/>
    <w:link w:val="10"/>
    <w:qFormat/>
    <w:uiPriority w:val="0"/>
    <w:rPr>
      <w:rFonts w:ascii="Times New Roman" w:hAnsi="Times New Roman"/>
      <w:kern w:val="2"/>
      <w:sz w:val="18"/>
      <w:szCs w:val="18"/>
    </w:rPr>
  </w:style>
  <w:style w:type="paragraph" w:customStyle="1" w:styleId="2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4">
    <w:name w:val="日期 Char"/>
    <w:basedOn w:val="17"/>
    <w:link w:val="7"/>
    <w:qFormat/>
    <w:uiPriority w:val="0"/>
    <w:rPr>
      <w:rFonts w:ascii="Times New Roman" w:hAnsi="Times New Roman"/>
      <w:kern w:val="2"/>
      <w:sz w:val="21"/>
      <w:szCs w:val="24"/>
    </w:rPr>
  </w:style>
  <w:style w:type="paragraph" w:customStyle="1" w:styleId="25">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2E75B6" w:themeColor="accent1" w:themeShade="BF"/>
      <w:kern w:val="0"/>
      <w:sz w:val="28"/>
      <w:szCs w:val="28"/>
    </w:rPr>
  </w:style>
  <w:style w:type="character" w:customStyle="1" w:styleId="26">
    <w:name w:val="批注框文本 Char"/>
    <w:basedOn w:val="17"/>
    <w:link w:val="8"/>
    <w:qFormat/>
    <w:uiPriority w:val="0"/>
    <w:rPr>
      <w:rFonts w:ascii="Times New Roman" w:hAnsi="Times New Roman"/>
      <w:kern w:val="2"/>
      <w:sz w:val="18"/>
      <w:szCs w:val="18"/>
    </w:rPr>
  </w:style>
  <w:style w:type="character" w:customStyle="1" w:styleId="27">
    <w:name w:val="NormalCharacter"/>
    <w:qFormat/>
    <w:uiPriority w:val="0"/>
  </w:style>
  <w:style w:type="paragraph" w:styleId="28">
    <w:name w:val="List Paragraph"/>
    <w:basedOn w:val="1"/>
    <w:qFormat/>
    <w:uiPriority w:val="99"/>
    <w:pPr>
      <w:ind w:firstLine="420" w:firstLineChars="200"/>
    </w:pPr>
  </w:style>
  <w:style w:type="character" w:customStyle="1" w:styleId="29">
    <w:name w:val="font201"/>
    <w:basedOn w:val="17"/>
    <w:qFormat/>
    <w:uiPriority w:val="99"/>
    <w:rPr>
      <w:rFonts w:ascii="仿宋_GB2312" w:hAnsi="仿宋_GB2312" w:eastAsia="仿宋_GB2312" w:cs="仿宋_GB2312"/>
      <w:kern w:val="0"/>
      <w:sz w:val="32"/>
      <w:szCs w:val="32"/>
    </w:rPr>
  </w:style>
  <w:style w:type="character" w:customStyle="1" w:styleId="30">
    <w:name w:val="页脚 Char"/>
    <w:basedOn w:val="17"/>
    <w:link w:val="9"/>
    <w:qFormat/>
    <w:uiPriority w:val="99"/>
    <w:rPr>
      <w:kern w:val="2"/>
      <w:sz w:val="18"/>
      <w:szCs w:val="18"/>
    </w:rPr>
  </w:style>
  <w:style w:type="character" w:customStyle="1" w:styleId="31">
    <w:name w:val="标题 1 Char"/>
    <w:basedOn w:val="17"/>
    <w:link w:val="2"/>
    <w:qFormat/>
    <w:uiPriority w:val="0"/>
    <w:rPr>
      <w:b/>
      <w:kern w:val="44"/>
      <w:sz w:val="44"/>
    </w:rPr>
  </w:style>
  <w:style w:type="character" w:customStyle="1" w:styleId="32">
    <w:name w:val="正文文本 Char"/>
    <w:basedOn w:val="17"/>
    <w:link w:val="5"/>
    <w:qFormat/>
    <w:uiPriority w:val="0"/>
    <w:rPr>
      <w:kern w:val="2"/>
      <w:sz w:val="21"/>
      <w:szCs w:val="24"/>
    </w:rPr>
  </w:style>
  <w:style w:type="character" w:customStyle="1" w:styleId="33">
    <w:name w:val="正文首行缩进 Char"/>
    <w:basedOn w:val="32"/>
    <w:link w:val="14"/>
    <w:qFormat/>
    <w:uiPriority w:val="0"/>
    <w:rPr>
      <w:rFonts w:ascii="宋体" w:hAnsi="宋体" w:cs="宋体"/>
      <w:kern w:val="2"/>
      <w:sz w:val="28"/>
      <w:szCs w:val="24"/>
      <w:lang w:val="zh-CN"/>
    </w:rPr>
  </w:style>
  <w:style w:type="character" w:customStyle="1" w:styleId="34">
    <w:name w:val="标题 2 Char"/>
    <w:basedOn w:val="17"/>
    <w:link w:val="3"/>
    <w:qFormat/>
    <w:uiPriority w:val="0"/>
    <w:rPr>
      <w:rFonts w:ascii="Arial" w:hAnsi="Arial" w:eastAsia="黑体"/>
      <w:b/>
      <w:kern w:val="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38</Pages>
  <Words>18447</Words>
  <Characters>18769</Characters>
  <Lines>155</Lines>
  <Paragraphs>43</Paragraphs>
  <TotalTime>14</TotalTime>
  <ScaleCrop>false</ScaleCrop>
  <LinksUpToDate>false</LinksUpToDate>
  <CharactersWithSpaces>19094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2021-04-10T22:59:00Z</dcterms:created>
  <dc:creator>Administrator</dc:creator>
  <cp:lastModifiedBy>黄益郎</cp:lastModifiedBy>
  <cp:lastPrinted>2021-05-24T16:53:00Z</cp:lastPrinted>
  <dcterms:modified xsi:type="dcterms:W3CDTF">2024-04-24T06:39:01Z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FB974E770D454FE5B8DC9AF03F33E9CE</vt:lpwstr>
  </property>
</Properties>
</file>