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default" w:ascii="Times New Roman" w:hAnsi="Times New Roman" w:eastAsia="仿宋" w:cs="Times New Roman"/>
          <w:b/>
          <w:color w:val="auto"/>
          <w:kern w:val="2"/>
          <w:sz w:val="44"/>
          <w:szCs w:val="44"/>
          <w:highlight w:val="none"/>
          <w:u w:val="none"/>
          <w:lang w:val="en-US" w:eastAsia="zh-CN" w:bidi="ar-SA"/>
        </w:rPr>
      </w:pPr>
      <w:r>
        <w:rPr>
          <w:rFonts w:hint="default" w:ascii="Times New Roman" w:hAnsi="Times New Roman" w:eastAsia="仿宋" w:cs="Times New Roman"/>
          <w:b/>
          <w:color w:val="auto"/>
          <w:kern w:val="2"/>
          <w:sz w:val="44"/>
          <w:szCs w:val="44"/>
          <w:highlight w:val="none"/>
          <w:u w:val="none"/>
          <w:lang w:val="en-US" w:eastAsia="zh-CN" w:bidi="ar-SA"/>
        </w:rPr>
        <w:t>平阳县工业用地</w:t>
      </w:r>
      <w:r>
        <w:rPr>
          <w:rFonts w:hint="eastAsia" w:ascii="Times New Roman" w:hAnsi="Times New Roman" w:eastAsia="仿宋" w:cs="Times New Roman"/>
          <w:b/>
          <w:color w:val="auto"/>
          <w:kern w:val="2"/>
          <w:sz w:val="44"/>
          <w:szCs w:val="44"/>
          <w:highlight w:val="none"/>
          <w:u w:val="none"/>
          <w:lang w:val="en-US" w:eastAsia="zh-CN" w:bidi="ar-SA"/>
        </w:rPr>
        <w:t>用地高质量利用</w:t>
      </w:r>
      <w:r>
        <w:rPr>
          <w:rFonts w:hint="default" w:ascii="Times New Roman" w:hAnsi="Times New Roman" w:eastAsia="仿宋" w:cs="Times New Roman"/>
          <w:b/>
          <w:color w:val="auto"/>
          <w:kern w:val="2"/>
          <w:sz w:val="44"/>
          <w:szCs w:val="44"/>
          <w:highlight w:val="none"/>
          <w:u w:val="none"/>
          <w:lang w:val="en-US" w:eastAsia="zh-CN" w:bidi="ar-SA"/>
        </w:rPr>
        <w:t>全生命周期管理办法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default" w:ascii="Times New Roman" w:hAnsi="Times New Roman" w:eastAsia="仿宋" w:cs="Times New Roman"/>
          <w:color w:val="auto"/>
          <w:sz w:val="30"/>
          <w:szCs w:val="30"/>
          <w:highlight w:val="none"/>
          <w:u w:val="none"/>
          <w:lang w:val="en-US" w:eastAsia="zh-CN"/>
        </w:rPr>
      </w:pPr>
      <w:r>
        <w:rPr>
          <w:rFonts w:hint="default" w:ascii="Times New Roman" w:hAnsi="Times New Roman" w:eastAsia="仿宋" w:cs="Times New Roman"/>
          <w:color w:val="auto"/>
          <w:sz w:val="24"/>
          <w:szCs w:val="24"/>
          <w:highlight w:val="none"/>
          <w:u w:val="none"/>
          <w:lang w:val="en-US" w:eastAsia="zh-CN"/>
        </w:rPr>
        <w:t>(征求意见稿）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pP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为充分发挥土地资源市场配置作用，坚持以市场导向和法治方式，有效建立工业用地“准入-供给-监管-退出”全生命周期管理机制，加快推进资源要素市场化配置改革，全力助推我县“十四五”期间工业经济超千亿目标。根据《浙江省人民政府关于深化“亩均论英雄”改革的指导意见》（浙政发〔2018〕5号）、《浙江省人民政府办公厅关于加快推进“标准地”改革的实施意见》（浙政办发〔2018〕73号）、《浙江省人民政府办公厅关于规范和完善建设用地使用权转让、出租、抵押二级市场的实施意见》（浙政办发〔2020〕57号）、《关于印发调整（平阳县新增工业项目“标准地”控制性指标（修订版））的通知》（平改发[2021]26号）和《温州市人民政府办公室关于进一步加强工业用地高质量利用全周期管理的若干意见》等相关政策要求，结合我县实际，制定本实施办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pP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一、指导思想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pP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以习近平新时代中国特色社会主义思想为指导，贯彻新发展理念和高质量发展的总体要求，在坚持“亩产论英雄”“效益论英雄”“能耗论英雄”“环境论英雄”理念的基础上，以契约式工业用地供给为手段，全面提升土地综合承载容量和经济产出水平，实现土地资源更集约、更高效、更可持续的高质量利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pP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二、定义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default" w:ascii="Times New Roman" w:hAnsi="Times New Roman" w:eastAsia="仿宋" w:cs="Times New Roman"/>
          <w:i w:val="0"/>
          <w:caps w:val="0"/>
          <w:color w:val="auto"/>
          <w:spacing w:val="0"/>
          <w:kern w:val="2"/>
          <w:sz w:val="28"/>
          <w:szCs w:val="28"/>
          <w:highlight w:val="none"/>
          <w:u w:val="none"/>
          <w:shd w:val="clear" w:fill="FFFFFF"/>
          <w:lang w:val="en-US" w:eastAsia="zh-CN" w:bidi="ar-SA"/>
        </w:rPr>
      </w:pP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本办法所称工业项目全生命周期管理，</w:t>
      </w:r>
      <w:r>
        <w:rPr>
          <w:rFonts w:hint="default" w:ascii="Times New Roman" w:hAnsi="Times New Roman" w:eastAsia="仿宋" w:cs="Times New Roman"/>
          <w:i w:val="0"/>
          <w:caps w:val="0"/>
          <w:color w:val="auto"/>
          <w:spacing w:val="0"/>
          <w:kern w:val="2"/>
          <w:sz w:val="28"/>
          <w:szCs w:val="28"/>
          <w:highlight w:val="none"/>
          <w:u w:val="none"/>
          <w:shd w:val="clear" w:fill="FFFFFF"/>
          <w:lang w:val="en-US" w:eastAsia="zh-CN" w:bidi="ar-SA"/>
        </w:rPr>
        <w:t>是以提</w:t>
      </w: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高土地利用质量和效益为目的，将工业用地项目约束性指标和监管要求列入《工业用地项目投资合同》（或《工业用地项目“标准地”使用协议》，以下简称投资合同）和《国有建设用地使用权</w:t>
      </w:r>
      <w:r>
        <w:rPr>
          <w:rFonts w:hint="default" w:ascii="Times New Roman" w:hAnsi="Times New Roman" w:eastAsia="仿宋" w:cs="Times New Roman"/>
          <w:i w:val="0"/>
          <w:caps w:val="0"/>
          <w:color w:val="auto"/>
          <w:spacing w:val="0"/>
          <w:kern w:val="2"/>
          <w:sz w:val="28"/>
          <w:szCs w:val="28"/>
          <w:highlight w:val="none"/>
          <w:u w:val="none"/>
          <w:shd w:val="clear" w:fill="FFFFFF"/>
          <w:lang w:val="en-US" w:eastAsia="zh-CN" w:bidi="ar-SA"/>
        </w:rPr>
        <w:t>出让合同》（以下简称出让合同），通过健全项目准入管理、优化土地供应、全生命周期绩效评价、</w:t>
      </w: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盘活工业用地存量</w:t>
      </w:r>
      <w:r>
        <w:rPr>
          <w:rFonts w:hint="default" w:ascii="Times New Roman" w:hAnsi="Times New Roman" w:eastAsia="仿宋" w:cs="Times New Roman"/>
          <w:i w:val="0"/>
          <w:caps w:val="0"/>
          <w:color w:val="auto"/>
          <w:spacing w:val="0"/>
          <w:kern w:val="2"/>
          <w:sz w:val="28"/>
          <w:szCs w:val="28"/>
          <w:highlight w:val="none"/>
          <w:u w:val="none"/>
          <w:shd w:val="clear" w:fill="FFFFFF"/>
          <w:lang w:val="en-US" w:eastAsia="zh-CN" w:bidi="ar-SA"/>
        </w:rPr>
        <w:t>、</w:t>
      </w: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强化工业用地流转、</w:t>
      </w:r>
      <w:r>
        <w:rPr>
          <w:rFonts w:hint="default" w:ascii="Times New Roman" w:hAnsi="Times New Roman" w:eastAsia="仿宋" w:cs="Times New Roman"/>
          <w:i w:val="0"/>
          <w:caps w:val="0"/>
          <w:color w:val="auto"/>
          <w:spacing w:val="0"/>
          <w:kern w:val="2"/>
          <w:sz w:val="28"/>
          <w:szCs w:val="28"/>
          <w:highlight w:val="none"/>
          <w:u w:val="none"/>
          <w:shd w:val="clear" w:fill="FFFFFF"/>
          <w:lang w:val="en-US" w:eastAsia="zh-CN" w:bidi="ar-SA"/>
        </w:rPr>
        <w:t>严格低效用地退出等全生命周期管理机制，对项目在用地期限内的利用状况实施全过程动态评估和监管，从而实现工业用地利用效益最大化。</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 w:cs="Times New Roman"/>
          <w:i w:val="0"/>
          <w:caps w:val="0"/>
          <w:color w:val="auto"/>
          <w:spacing w:val="0"/>
          <w:kern w:val="2"/>
          <w:sz w:val="28"/>
          <w:szCs w:val="28"/>
          <w:highlight w:val="none"/>
          <w:u w:val="none"/>
          <w:shd w:val="clear" w:fill="FFFFFF"/>
          <w:lang w:val="en-US" w:eastAsia="zh-CN" w:bidi="ar-SA"/>
        </w:rPr>
      </w:pPr>
      <w:r>
        <w:rPr>
          <w:rFonts w:hint="default" w:ascii="Times New Roman" w:hAnsi="Times New Roman" w:eastAsia="仿宋" w:cs="Times New Roman"/>
          <w:i w:val="0"/>
          <w:caps w:val="0"/>
          <w:color w:val="auto"/>
          <w:spacing w:val="0"/>
          <w:kern w:val="2"/>
          <w:sz w:val="28"/>
          <w:szCs w:val="28"/>
          <w:highlight w:val="none"/>
          <w:u w:val="none"/>
          <w:shd w:val="clear" w:fill="FFFFFF"/>
          <w:lang w:val="en-US" w:eastAsia="zh-CN" w:bidi="ar-SA"/>
        </w:rPr>
        <w:t xml:space="preserve">三、健全项目准入管理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pP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一）项目准入环节。优化完善工业项目“标准地”指导性控制指标体系，明确工业用地出让的产业定位、规划指标、环境指标、能耗指标和经济指标五大类指标，并将土地转让限制条件、未达标退出方法、优惠地价享受情况及违约责任追究等约束性要求纳入《投资合同》和《出让合同》，在土地出让公告中同步公示，作为土地利用履约考核的依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pP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（二）土地出让环节。所有工业用地项目向工业平台集聚，原则上“一核三区”平台外不布局工业用地项目；</w:t>
      </w:r>
      <w:r>
        <w:rPr>
          <w:rFonts w:hint="eastAsia" w:ascii="宋体" w:hAnsi="宋体" w:eastAsia="宋体" w:cs="宋体"/>
          <w:kern w:val="0"/>
          <w:sz w:val="21"/>
          <w:szCs w:val="21"/>
          <w:highlight w:val="none"/>
          <w:lang w:val="en-US" w:eastAsia="zh-CN" w:bidi="ar"/>
        </w:rPr>
        <w:t>原则上</w:t>
      </w: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对用地规模小于10亩的项目不再单独安排新增建设用地。新增工业用地坚持“标准地”出让模式，同步纳入全生命周期管理；2018年8月31日实施“标准地”政策至本办法实施之日期间出让的工业“标准地”项目视同纳入全生命周期管理。土地竞得人先与属地乡镇（管委会）签订《投资合同》后，再与资规局签订《出让合同》共同约定项目开工时间、竣工时间、达产时间、投资强度、容积率、亩均税收、单位能耗增加值、单位排放增加值、亩均产出及违约处置措施。</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pP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（三）探索建立土壤修复保障机制。工业用地出让前， 应进行土壤和地下水地质环境质量检测，相关检测报告作为土地使用权出让合同的附件。按照“谁污染、谁负责”的原则，用地用途变更或者在其土地使用权收回、转让前，进行土壤污染评估，并要求土地使用权人承担土壤和地下水地质环境修复的相关费用。工业用地使用过程中造成严重环境污染的，经环保部门认定，停止企业土地使用权转让，由土地使用权人开展风险管控或修复工作，对拒不履行的，解除出让合同，无偿收回土地使用权，井由生态环境部门启动生态损害评估，追究其法律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pP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四、优化土地供应模式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pP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（一）</w:t>
      </w:r>
      <w:r>
        <w:rPr>
          <w:rFonts w:hint="eastAsia" w:ascii="Times New Roman" w:hAnsi="Times New Roman" w:eastAsia="仿宋" w:cs="Times New Roman"/>
          <w:i w:val="0"/>
          <w:caps w:val="0"/>
          <w:color w:val="auto"/>
          <w:spacing w:val="0"/>
          <w:kern w:val="0"/>
          <w:sz w:val="28"/>
          <w:szCs w:val="28"/>
          <w:highlight w:val="none"/>
          <w:u w:val="none"/>
          <w:shd w:val="clear" w:fill="FFFFFF"/>
          <w:lang w:val="en-US" w:eastAsia="zh-CN" w:bidi="ar"/>
        </w:rPr>
        <w:t>探索</w:t>
      </w: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工业用地弹性年期出让制度。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pP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根据产业发展趋势和企业生命周期，推行工业用地弹性年期出让制度。新增一般工业用地出让年限原则上不超过20年；固定资产投资3亿元以上的浙江省重大产业项目、战略性新兴产业项目、温州市高成长型企业项目，经县政府同意后，土地出让年限可按50年确定。采取弹性年期出让方式供地的，出让起始价按照工业用地法定最高年期50年的出让评估价乘以相应年期系数确定，年期系数=实际年期/法定最高年期。20年到期前，由经信部门牵头进行工业用地开发利用绩效评估审核，审核通过的，可再延期30年，重新签订土地出让合同，并按合同签订时点土地评估市场价格缴纳续期年限的土地出让金。</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pP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（二）探索“控地价、竞贡献”模式。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pP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工业项目用地分为扶持保障类用地和市场竞争类用地。扶持保障类用地重点保障重大产业项目、重点招商引资项目、战略性新兴产业项目和高成长性产业项目的需要，由县长办公会议研判是否符合高质量发展要求；资规部门要根据县长办公会议纪要，按“标准地”要求挂牌，确保供地。市场竞争类用地实行“控地价、竞贡献”出让方式，即地价控制在一定区间内，当地价达到上限时（上浮最高不超过起拍地价20%），转为竞投项目达产后一定期限（一般为5年）承诺亩均税收，出价最高者竞得土地。将投报的亩均年税收纳入《投资合同》、《出让合同》进行监管，约定未来一定时期达产亩均税收要求及违约处置措施，原则上每年竞贡献模式不低于40%。</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pP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五、实施工业项目全生命周期绩效评价</w:t>
      </w:r>
    </w:p>
    <w:p>
      <w:pPr>
        <w:keepNext w:val="0"/>
        <w:keepLines w:val="0"/>
        <w:pageBreakBefore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pP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（一）开竣工。工业项目</w:t>
      </w:r>
      <w:r>
        <w:rPr>
          <w:rFonts w:hint="eastAsia" w:ascii="Times New Roman" w:hAnsi="Times New Roman" w:eastAsia="仿宋" w:cs="Times New Roman"/>
          <w:i w:val="0"/>
          <w:caps w:val="0"/>
          <w:color w:val="auto"/>
          <w:spacing w:val="0"/>
          <w:kern w:val="0"/>
          <w:sz w:val="28"/>
          <w:szCs w:val="28"/>
          <w:highlight w:val="none"/>
          <w:u w:val="none"/>
          <w:shd w:val="clear" w:fill="FFFFFF"/>
          <w:lang w:val="en-US" w:eastAsia="zh-CN" w:bidi="ar"/>
        </w:rPr>
        <w:t>一般</w:t>
      </w: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在签订土地出让合同之日起3个月内开工，签订土地出让合同之日起24个月内竣工</w:t>
      </w:r>
      <w:r>
        <w:rPr>
          <w:rFonts w:hint="eastAsia" w:ascii="Times New Roman" w:hAnsi="Times New Roman" w:eastAsia="仿宋" w:cs="Times New Roman"/>
          <w:i w:val="0"/>
          <w:caps w:val="0"/>
          <w:color w:val="auto"/>
          <w:spacing w:val="0"/>
          <w:kern w:val="0"/>
          <w:sz w:val="28"/>
          <w:szCs w:val="28"/>
          <w:highlight w:val="none"/>
          <w:u w:val="none"/>
          <w:shd w:val="clear" w:fill="FFFFFF"/>
          <w:lang w:val="en-US" w:eastAsia="zh-CN" w:bidi="ar"/>
        </w:rPr>
        <w:t>（计划投资10亿元以下项目建设周期不超过24个月，10～20亿元项目建设周期不超过30个月，20亿元以上项目建设周期不超过36个月）。</w:t>
      </w: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开工时间以企业取得《建筑工程施工许可证》（或桩基预开工证明）的日期为准；竣工时间以项目竣工验收通过时间为准。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pP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（二）投达产。工业项目</w:t>
      </w:r>
      <w:r>
        <w:rPr>
          <w:rFonts w:hint="eastAsia" w:ascii="Times New Roman" w:hAnsi="Times New Roman" w:eastAsia="仿宋" w:cs="Times New Roman"/>
          <w:i w:val="0"/>
          <w:caps w:val="0"/>
          <w:color w:val="auto"/>
          <w:spacing w:val="0"/>
          <w:kern w:val="0"/>
          <w:sz w:val="28"/>
          <w:szCs w:val="28"/>
          <w:highlight w:val="none"/>
          <w:u w:val="none"/>
          <w:shd w:val="clear" w:fill="FFFFFF"/>
          <w:lang w:val="en-US" w:eastAsia="zh-CN" w:bidi="ar"/>
        </w:rPr>
        <w:t>一般</w:t>
      </w: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在签订土地出让合同之日起30个月内投产，签订土地出让合同之日起54个月内达产。投产以设备投入试生产，可生产出销售的产品并开具产品销售发票日期为准</w:t>
      </w:r>
      <w:r>
        <w:rPr>
          <w:rFonts w:hint="eastAsia" w:ascii="Times New Roman" w:hAnsi="Times New Roman" w:eastAsia="仿宋" w:cs="Times New Roman"/>
          <w:i w:val="0"/>
          <w:caps w:val="0"/>
          <w:color w:val="auto"/>
          <w:spacing w:val="0"/>
          <w:kern w:val="0"/>
          <w:sz w:val="28"/>
          <w:szCs w:val="28"/>
          <w:highlight w:val="none"/>
          <w:u w:val="none"/>
          <w:shd w:val="clear" w:fill="FFFFFF"/>
          <w:lang w:val="en-US" w:eastAsia="zh-CN" w:bidi="ar"/>
        </w:rPr>
        <w:t>。</w:t>
      </w: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达产时间以项目达产验收通过时间为准</w:t>
      </w:r>
      <w:r>
        <w:rPr>
          <w:rFonts w:hint="eastAsia" w:ascii="Times New Roman" w:hAnsi="Times New Roman" w:eastAsia="仿宋" w:cs="Times New Roman"/>
          <w:i w:val="0"/>
          <w:caps w:val="0"/>
          <w:color w:val="auto"/>
          <w:spacing w:val="0"/>
          <w:kern w:val="0"/>
          <w:sz w:val="28"/>
          <w:szCs w:val="28"/>
          <w:highlight w:val="none"/>
          <w:u w:val="none"/>
          <w:shd w:val="clear" w:fill="FFFFFF"/>
          <w:lang w:val="en-US" w:eastAsia="zh-CN" w:bidi="ar"/>
        </w:rPr>
        <w:t>，申请达产验收按照验收前连续12个月生产经营数据，达产验收年度次年起，年亩均税收按“完整会计年度”数据核定。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pP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三）不动产登记。工业用地首次土地登记，在《不动产权证》上备注“标准地”项目开发建设期限和转让等限制条件。通过竣工验收合格的，给予办理不动产权证，在《不动产权证》上备注首次达产验收期限和“标准地”权属变动的限制性条件（“标准地”出让的工业用地</w:t>
      </w:r>
      <w:r>
        <w:rPr>
          <w:rFonts w:hint="default" w:ascii="Times New Roman" w:hAnsi="Times New Roman" w:eastAsia="仿宋" w:cs="Times New Roman"/>
          <w:i w:val="0"/>
          <w:caps w:val="0"/>
          <w:color w:val="auto"/>
          <w:spacing w:val="0"/>
          <w:kern w:val="0"/>
          <w:sz w:val="28"/>
          <w:szCs w:val="28"/>
          <w:highlight w:val="none"/>
          <w:u w:val="none"/>
          <w:shd w:val="clear" w:fill="FFFFFF"/>
          <w:lang w:val="zh-TW" w:eastAsia="zh-CN" w:bidi="ar"/>
        </w:rPr>
        <w:t>项目达产验收通过前，该项目企业不动产权（股权）不得转让</w:t>
      </w: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 xml:space="preserve">）。通过达产验收的，项目业主凭《工业项目达产验收合格通知书》办理不动产变更登记，之后纳入“亩均效益”综合评价管理。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default" w:ascii="Times New Roman" w:hAnsi="Times New Roman" w:eastAsia="仿宋" w:cs="Times New Roman"/>
          <w:i w:val="0"/>
          <w:caps w:val="0"/>
          <w:color w:val="auto"/>
          <w:spacing w:val="0"/>
          <w:sz w:val="28"/>
          <w:szCs w:val="28"/>
          <w:highlight w:val="none"/>
          <w:u w:val="none"/>
          <w:shd w:val="clear" w:fill="FFFFFF"/>
          <w:lang w:eastAsia="zh-CN"/>
        </w:rPr>
      </w:pP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（四）定期考核。</w:t>
      </w:r>
      <w:r>
        <w:rPr>
          <w:rFonts w:hint="default" w:ascii="Times New Roman" w:hAnsi="Times New Roman" w:eastAsia="仿宋" w:cs="Times New Roman"/>
          <w:i w:val="0"/>
          <w:caps w:val="0"/>
          <w:color w:val="auto"/>
          <w:spacing w:val="0"/>
          <w:sz w:val="28"/>
          <w:szCs w:val="28"/>
          <w:highlight w:val="none"/>
          <w:u w:val="none"/>
          <w:shd w:val="clear" w:fill="FFFFFF"/>
          <w:lang w:eastAsia="zh-CN"/>
        </w:rPr>
        <w:t>纳入全生命周期管理的工业用地，由属地乡镇做好工业用地全生命周期管理履约监管，并负责收取因违约产生的违约金。“标准地”出让的亩均税收要求按照“标准地”标准执行，非“标准地”出让的亩均税收不得低于1</w:t>
      </w:r>
      <w:r>
        <w:rPr>
          <w:rFonts w:hint="default" w:ascii="Times New Roman" w:hAnsi="Times New Roman" w:eastAsia="仿宋" w:cs="Times New Roman"/>
          <w:i w:val="0"/>
          <w:caps w:val="0"/>
          <w:color w:val="auto"/>
          <w:spacing w:val="0"/>
          <w:sz w:val="28"/>
          <w:szCs w:val="28"/>
          <w:highlight w:val="none"/>
          <w:u w:val="none"/>
          <w:shd w:val="clear" w:fill="FFFFFF"/>
          <w:lang w:val="en-US" w:eastAsia="zh-CN"/>
        </w:rPr>
        <w:t>5</w:t>
      </w:r>
      <w:r>
        <w:rPr>
          <w:rFonts w:hint="default" w:ascii="Times New Roman" w:hAnsi="Times New Roman" w:eastAsia="仿宋" w:cs="Times New Roman"/>
          <w:i w:val="0"/>
          <w:caps w:val="0"/>
          <w:color w:val="auto"/>
          <w:spacing w:val="0"/>
          <w:sz w:val="28"/>
          <w:szCs w:val="28"/>
          <w:highlight w:val="none"/>
          <w:u w:val="none"/>
          <w:shd w:val="clear" w:fill="FFFFFF"/>
          <w:lang w:eastAsia="zh-CN"/>
        </w:rPr>
        <w:t>万元</w:t>
      </w:r>
      <w:r>
        <w:rPr>
          <w:rFonts w:hint="eastAsia" w:ascii="Times New Roman" w:hAnsi="Times New Roman" w:eastAsia="仿宋" w:cs="Times New Roman"/>
          <w:i w:val="0"/>
          <w:caps w:val="0"/>
          <w:color w:val="auto"/>
          <w:spacing w:val="0"/>
          <w:sz w:val="28"/>
          <w:szCs w:val="28"/>
          <w:highlight w:val="none"/>
          <w:u w:val="none"/>
          <w:shd w:val="clear" w:fill="FFFFFF"/>
          <w:lang w:eastAsia="zh-CN"/>
        </w:rPr>
        <w:t>且不得低于上年度温州市行业平均水平</w:t>
      </w:r>
      <w:r>
        <w:rPr>
          <w:rFonts w:hint="default" w:ascii="Times New Roman" w:hAnsi="Times New Roman" w:eastAsia="仿宋" w:cs="Times New Roman"/>
          <w:i w:val="0"/>
          <w:caps w:val="0"/>
          <w:color w:val="auto"/>
          <w:spacing w:val="0"/>
          <w:sz w:val="28"/>
          <w:szCs w:val="28"/>
          <w:highlight w:val="none"/>
          <w:u w:val="none"/>
          <w:shd w:val="clear" w:fill="FFFFFF"/>
          <w:lang w:eastAsia="zh-CN"/>
        </w:rPr>
        <w:t>。工业用地属地乡镇（管委会）会同税务局每年</w:t>
      </w:r>
      <w:r>
        <w:rPr>
          <w:rFonts w:hint="eastAsia"/>
          <w:highlight w:val="none"/>
          <w:lang w:eastAsia="zh-CN"/>
        </w:rPr>
        <w:t>第一季度</w:t>
      </w:r>
      <w:r>
        <w:rPr>
          <w:rFonts w:hint="default" w:ascii="Times New Roman" w:hAnsi="Times New Roman" w:eastAsia="仿宋" w:cs="Times New Roman"/>
          <w:i w:val="0"/>
          <w:caps w:val="0"/>
          <w:color w:val="auto"/>
          <w:spacing w:val="0"/>
          <w:sz w:val="28"/>
          <w:szCs w:val="28"/>
          <w:highlight w:val="none"/>
          <w:u w:val="none"/>
          <w:shd w:val="clear" w:fill="FFFFFF"/>
          <w:lang w:eastAsia="zh-CN"/>
        </w:rPr>
        <w:t>对考核期满的工业用地进行税收考核，税收统计口径参照我县工业企业亩产效益评价税种执行</w:t>
      </w:r>
      <w:r>
        <w:rPr>
          <w:rFonts w:hint="eastAsia" w:ascii="Times New Roman" w:hAnsi="Times New Roman" w:eastAsia="仿宋" w:cs="Times New Roman"/>
          <w:i w:val="0"/>
          <w:caps w:val="0"/>
          <w:color w:val="auto"/>
          <w:spacing w:val="0"/>
          <w:sz w:val="28"/>
          <w:szCs w:val="28"/>
          <w:highlight w:val="none"/>
          <w:u w:val="none"/>
          <w:shd w:val="clear" w:fill="FFFFFF"/>
          <w:lang w:val="en-US" w:eastAsia="zh-CN"/>
        </w:rPr>
        <w:t>，其中</w:t>
      </w:r>
      <w:r>
        <w:rPr>
          <w:rFonts w:hint="eastAsia" w:ascii="Times New Roman" w:hAnsi="Times New Roman" w:eastAsia="仿宋" w:cs="Times New Roman"/>
          <w:i w:val="0"/>
          <w:caps w:val="0"/>
          <w:color w:val="auto"/>
          <w:spacing w:val="0"/>
          <w:sz w:val="28"/>
          <w:szCs w:val="28"/>
          <w:highlight w:val="none"/>
          <w:u w:val="none"/>
          <w:shd w:val="clear" w:fill="FFFFFF"/>
          <w:lang w:eastAsia="zh-CN"/>
        </w:rPr>
        <w:t>增值税=增值税不含调库净入库税收+生产型出口企业单证实际审核通过免抵税额+优惠退税</w:t>
      </w:r>
      <w:r>
        <w:rPr>
          <w:rFonts w:hint="eastAsia" w:ascii="Times New Roman" w:hAnsi="Times New Roman" w:eastAsia="仿宋" w:cs="Times New Roman"/>
          <w:i w:val="0"/>
          <w:caps w:val="0"/>
          <w:color w:val="auto"/>
          <w:spacing w:val="0"/>
          <w:sz w:val="28"/>
          <w:szCs w:val="28"/>
          <w:highlight w:val="none"/>
          <w:u w:val="none"/>
          <w:shd w:val="clear" w:fill="FFFFFF"/>
          <w:lang w:val="en-US" w:eastAsia="zh-CN"/>
        </w:rPr>
        <w:t>+固定资产（厂房、设备）进项已抵扣额</w:t>
      </w:r>
      <w:r>
        <w:rPr>
          <w:rFonts w:hint="default" w:ascii="Times New Roman" w:hAnsi="Times New Roman" w:eastAsia="仿宋" w:cs="Times New Roman"/>
          <w:i w:val="0"/>
          <w:caps w:val="0"/>
          <w:color w:val="auto"/>
          <w:spacing w:val="0"/>
          <w:sz w:val="28"/>
          <w:szCs w:val="28"/>
          <w:highlight w:val="none"/>
          <w:u w:val="none"/>
          <w:shd w:val="clear" w:fill="FFFFFF"/>
          <w:lang w:eastAsia="zh-CN"/>
        </w:rPr>
        <w:t>。</w:t>
      </w:r>
      <w:r>
        <w:rPr>
          <w:rFonts w:hint="default" w:ascii="Times New Roman" w:hAnsi="Times New Roman" w:eastAsia="仿宋" w:cs="Times New Roman"/>
          <w:i w:val="0"/>
          <w:caps w:val="0"/>
          <w:color w:val="auto"/>
          <w:spacing w:val="0"/>
          <w:sz w:val="28"/>
          <w:szCs w:val="28"/>
          <w:highlight w:val="none"/>
          <w:u w:val="none"/>
          <w:shd w:val="clear" w:fill="FFFFFF"/>
          <w:lang w:val="en-US" w:eastAsia="zh-CN"/>
        </w:rPr>
        <w:t>已</w:t>
      </w: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纳入全生命周期管理的工业用地在约定</w:t>
      </w:r>
      <w:r>
        <w:rPr>
          <w:rFonts w:hint="eastAsia" w:ascii="Times New Roman" w:hAnsi="Times New Roman" w:eastAsia="仿宋" w:cs="Times New Roman"/>
          <w:i w:val="0"/>
          <w:caps w:val="0"/>
          <w:color w:val="auto"/>
          <w:spacing w:val="0"/>
          <w:kern w:val="0"/>
          <w:sz w:val="28"/>
          <w:szCs w:val="28"/>
          <w:highlight w:val="none"/>
          <w:u w:val="none"/>
          <w:shd w:val="clear" w:fill="FFFFFF"/>
          <w:lang w:val="en-US" w:eastAsia="zh-CN" w:bidi="ar"/>
        </w:rPr>
        <w:t>投产</w:t>
      </w: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年限后以2年为一个周期进行亩均税收考核，经属地乡镇（管委会）会同经信、税务部门认定后达到《工业用地项</w:t>
      </w:r>
      <w:r>
        <w:rPr>
          <w:rFonts w:hint="default" w:ascii="Times New Roman" w:hAnsi="Times New Roman" w:eastAsia="仿宋" w:cs="Times New Roman"/>
          <w:i w:val="0"/>
          <w:caps w:val="0"/>
          <w:color w:val="auto"/>
          <w:spacing w:val="0"/>
          <w:sz w:val="28"/>
          <w:szCs w:val="28"/>
          <w:highlight w:val="none"/>
          <w:u w:val="none"/>
          <w:shd w:val="clear" w:fill="FFFFFF"/>
          <w:lang w:eastAsia="zh-CN"/>
        </w:rPr>
        <w:t>目投资合同》约定亩均税收标准的，继续履约；未达到约定标准但不低于约定标准50%的，给予黄牌警告，受让人应按照实际差额部分支付违约金，并继续履约；项目亩均税收未达到约定标准</w:t>
      </w:r>
      <w:r>
        <w:rPr>
          <w:rFonts w:hint="default" w:ascii="Times New Roman" w:hAnsi="Times New Roman" w:eastAsia="仿宋" w:cs="Times New Roman"/>
          <w:i w:val="0"/>
          <w:caps w:val="0"/>
          <w:color w:val="auto"/>
          <w:spacing w:val="0"/>
          <w:sz w:val="28"/>
          <w:szCs w:val="28"/>
          <w:highlight w:val="none"/>
          <w:u w:val="none"/>
          <w:shd w:val="clear" w:fill="FFFFFF"/>
          <w:lang w:val="en-US" w:eastAsia="zh-CN"/>
        </w:rPr>
        <w:t>3</w:t>
      </w:r>
      <w:r>
        <w:rPr>
          <w:rFonts w:hint="default" w:ascii="Times New Roman" w:hAnsi="Times New Roman" w:eastAsia="仿宋" w:cs="Times New Roman"/>
          <w:i w:val="0"/>
          <w:caps w:val="0"/>
          <w:color w:val="auto"/>
          <w:spacing w:val="0"/>
          <w:sz w:val="28"/>
          <w:szCs w:val="28"/>
          <w:highlight w:val="none"/>
          <w:u w:val="none"/>
          <w:shd w:val="clear" w:fill="FFFFFF"/>
          <w:lang w:eastAsia="zh-CN"/>
        </w:rPr>
        <w:t>0%的，给予红牌警告，2年考核期满</w:t>
      </w:r>
      <w:bookmarkStart w:id="0" w:name="_GoBack"/>
      <w:bookmarkEnd w:id="0"/>
      <w:r>
        <w:rPr>
          <w:rFonts w:hint="default" w:ascii="Times New Roman" w:hAnsi="Times New Roman" w:eastAsia="仿宋" w:cs="Times New Roman"/>
          <w:i w:val="0"/>
          <w:caps w:val="0"/>
          <w:color w:val="auto"/>
          <w:spacing w:val="0"/>
          <w:sz w:val="28"/>
          <w:szCs w:val="28"/>
          <w:highlight w:val="none"/>
          <w:u w:val="none"/>
          <w:shd w:val="clear" w:fill="FFFFFF"/>
          <w:lang w:eastAsia="zh-CN"/>
        </w:rPr>
        <w:t>亩均税收仍未达到约定标准</w:t>
      </w:r>
      <w:r>
        <w:rPr>
          <w:rFonts w:hint="default" w:ascii="Times New Roman" w:hAnsi="Times New Roman" w:eastAsia="仿宋" w:cs="Times New Roman"/>
          <w:i w:val="0"/>
          <w:caps w:val="0"/>
          <w:color w:val="auto"/>
          <w:spacing w:val="0"/>
          <w:sz w:val="28"/>
          <w:szCs w:val="28"/>
          <w:highlight w:val="none"/>
          <w:u w:val="none"/>
          <w:shd w:val="clear" w:fill="FFFFFF"/>
          <w:lang w:val="en-US" w:eastAsia="zh-CN"/>
        </w:rPr>
        <w:t>3</w:t>
      </w:r>
      <w:r>
        <w:rPr>
          <w:rFonts w:hint="default" w:ascii="Times New Roman" w:hAnsi="Times New Roman" w:eastAsia="仿宋" w:cs="Times New Roman"/>
          <w:i w:val="0"/>
          <w:caps w:val="0"/>
          <w:color w:val="auto"/>
          <w:spacing w:val="0"/>
          <w:sz w:val="28"/>
          <w:szCs w:val="28"/>
          <w:highlight w:val="none"/>
          <w:u w:val="none"/>
          <w:shd w:val="clear" w:fill="FFFFFF"/>
          <w:lang w:eastAsia="zh-CN"/>
        </w:rPr>
        <w:t>0%的，由属地乡镇（管委会）做好收回前期工作后抄告县资规局，县资规局有权解除土地《出让合同》，并按《出让合同》约定收回土地使用权。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pPr>
      <w:r>
        <w:rPr>
          <w:rFonts w:hint="default" w:ascii="Times New Roman" w:hAnsi="Times New Roman" w:eastAsia="仿宋" w:cs="Times New Roman"/>
          <w:i w:val="0"/>
          <w:caps w:val="0"/>
          <w:color w:val="auto"/>
          <w:spacing w:val="0"/>
          <w:sz w:val="28"/>
          <w:szCs w:val="28"/>
          <w:highlight w:val="none"/>
          <w:u w:val="none"/>
          <w:shd w:val="clear" w:fill="FFFFFF"/>
          <w:lang w:val="en-US" w:eastAsia="zh-CN"/>
        </w:rPr>
        <w:t>（五）违约整改。对于达产验收中实际产出效益严重不符合</w:t>
      </w:r>
      <w:r>
        <w:rPr>
          <w:rFonts w:hint="eastAsia" w:ascii="Times New Roman" w:hAnsi="Times New Roman" w:eastAsia="仿宋" w:cs="Times New Roman"/>
          <w:i w:val="0"/>
          <w:caps w:val="0"/>
          <w:color w:val="auto"/>
          <w:spacing w:val="0"/>
          <w:sz w:val="28"/>
          <w:szCs w:val="28"/>
          <w:highlight w:val="none"/>
          <w:u w:val="none"/>
          <w:shd w:val="clear" w:fill="FFFFFF"/>
          <w:lang w:val="en-US" w:eastAsia="zh-CN"/>
        </w:rPr>
        <w:t>合同约定</w:t>
      </w:r>
      <w:r>
        <w:rPr>
          <w:rFonts w:hint="default" w:ascii="Times New Roman" w:hAnsi="Times New Roman" w:eastAsia="仿宋" w:cs="Times New Roman"/>
          <w:i w:val="0"/>
          <w:caps w:val="0"/>
          <w:color w:val="auto"/>
          <w:spacing w:val="0"/>
          <w:sz w:val="28"/>
          <w:szCs w:val="28"/>
          <w:highlight w:val="none"/>
          <w:u w:val="none"/>
          <w:shd w:val="clear" w:fill="FFFFFF"/>
          <w:lang w:val="en-US" w:eastAsia="zh-CN"/>
        </w:rPr>
        <w:t>的项目，由相关</w:t>
      </w:r>
      <w:r>
        <w:rPr>
          <w:rFonts w:hint="eastAsia" w:ascii="Times New Roman" w:hAnsi="Times New Roman" w:eastAsia="仿宋" w:cs="Times New Roman"/>
          <w:i w:val="0"/>
          <w:caps w:val="0"/>
          <w:color w:val="auto"/>
          <w:spacing w:val="0"/>
          <w:sz w:val="28"/>
          <w:szCs w:val="28"/>
          <w:highlight w:val="none"/>
          <w:u w:val="none"/>
          <w:shd w:val="clear" w:fill="FFFFFF"/>
          <w:lang w:val="en-US" w:eastAsia="zh-CN"/>
        </w:rPr>
        <w:t>责任</w:t>
      </w:r>
      <w:r>
        <w:rPr>
          <w:rFonts w:hint="default" w:ascii="Times New Roman" w:hAnsi="Times New Roman" w:eastAsia="仿宋" w:cs="Times New Roman"/>
          <w:i w:val="0"/>
          <w:caps w:val="0"/>
          <w:color w:val="auto"/>
          <w:spacing w:val="0"/>
          <w:sz w:val="28"/>
          <w:szCs w:val="28"/>
          <w:highlight w:val="none"/>
          <w:u w:val="none"/>
          <w:shd w:val="clear" w:fill="FFFFFF"/>
          <w:lang w:val="en-US" w:eastAsia="zh-CN"/>
        </w:rPr>
        <w:t>部门责令限期整改，整改期最长不超过1年。整改后仍不能达到约定条件的，达产验收不予通过，并由项目业主单位按相关法律法规和</w:t>
      </w:r>
      <w:r>
        <w:rPr>
          <w:rFonts w:hint="eastAsia" w:ascii="Times New Roman" w:hAnsi="Times New Roman" w:eastAsia="仿宋" w:cs="Times New Roman"/>
          <w:i w:val="0"/>
          <w:caps w:val="0"/>
          <w:color w:val="auto"/>
          <w:spacing w:val="0"/>
          <w:sz w:val="28"/>
          <w:szCs w:val="28"/>
          <w:highlight w:val="none"/>
          <w:u w:val="none"/>
          <w:shd w:val="clear" w:fill="FFFFFF"/>
          <w:lang w:val="en-US" w:eastAsia="zh-CN"/>
        </w:rPr>
        <w:t>工业用地项目投资合同、土地出让合同</w:t>
      </w:r>
      <w:r>
        <w:rPr>
          <w:rFonts w:hint="default" w:ascii="Times New Roman" w:hAnsi="Times New Roman" w:eastAsia="仿宋" w:cs="Times New Roman"/>
          <w:i w:val="0"/>
          <w:caps w:val="0"/>
          <w:color w:val="auto"/>
          <w:spacing w:val="0"/>
          <w:sz w:val="28"/>
          <w:szCs w:val="28"/>
          <w:highlight w:val="none"/>
          <w:u w:val="none"/>
          <w:shd w:val="clear" w:fill="FFFFFF"/>
          <w:lang w:val="en-US" w:eastAsia="zh-CN"/>
        </w:rPr>
        <w:t>约定承担相应违约责任。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default" w:ascii="Times New Roman" w:hAnsi="Times New Roman" w:eastAsia="仿宋" w:cs="Times New Roman"/>
          <w:i w:val="0"/>
          <w:caps w:val="0"/>
          <w:color w:val="auto"/>
          <w:spacing w:val="0"/>
          <w:sz w:val="28"/>
          <w:szCs w:val="28"/>
          <w:highlight w:val="none"/>
          <w:u w:val="none"/>
          <w:shd w:val="clear" w:fill="FFFFFF"/>
          <w:lang w:val="en-US" w:eastAsia="zh-CN"/>
        </w:rPr>
      </w:pP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六、强化工业用地流转</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default" w:ascii="Times New Roman" w:hAnsi="Times New Roman" w:eastAsia="仿宋" w:cs="Times New Roman"/>
          <w:i w:val="0"/>
          <w:caps w:val="0"/>
          <w:color w:val="auto"/>
          <w:spacing w:val="0"/>
          <w:sz w:val="28"/>
          <w:szCs w:val="28"/>
          <w:highlight w:val="none"/>
          <w:u w:val="none"/>
          <w:shd w:val="clear" w:fill="FFFFFF"/>
          <w:lang w:val="en-US" w:eastAsia="zh-CN"/>
        </w:rPr>
      </w:pPr>
      <w:r>
        <w:rPr>
          <w:rFonts w:hint="default" w:ascii="Times New Roman" w:hAnsi="Times New Roman" w:eastAsia="仿宋" w:cs="Times New Roman"/>
          <w:i w:val="0"/>
          <w:caps w:val="0"/>
          <w:color w:val="auto"/>
          <w:spacing w:val="0"/>
          <w:sz w:val="28"/>
          <w:szCs w:val="28"/>
          <w:highlight w:val="none"/>
          <w:u w:val="none"/>
          <w:shd w:val="clear" w:fill="FFFFFF"/>
          <w:lang w:val="en-US" w:eastAsia="zh-CN"/>
        </w:rPr>
        <w:t>（一）二级市场转让要求。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2"/>
        <w:jc w:val="both"/>
        <w:textAlignment w:val="auto"/>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pP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1、“标准地”出让的工业用地转让（</w:t>
      </w:r>
      <w:r>
        <w:rPr>
          <w:rFonts w:hint="default" w:ascii="Times New Roman" w:hAnsi="Times New Roman" w:eastAsia="仿宋" w:cs="Times New Roman"/>
          <w:i w:val="0"/>
          <w:caps w:val="0"/>
          <w:color w:val="auto"/>
          <w:spacing w:val="0"/>
          <w:sz w:val="28"/>
          <w:szCs w:val="28"/>
          <w:highlight w:val="none"/>
          <w:u w:val="none"/>
          <w:shd w:val="clear" w:fill="FFFFFF"/>
          <w:lang w:val="en-US" w:eastAsia="zh-CN"/>
        </w:rPr>
        <w:t>含股权转让）</w:t>
      </w: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的</w:t>
      </w:r>
      <w:r>
        <w:rPr>
          <w:rFonts w:hint="default" w:ascii="Times New Roman" w:hAnsi="Times New Roman" w:eastAsia="仿宋" w:cs="Times New Roman"/>
          <w:i w:val="0"/>
          <w:caps w:val="0"/>
          <w:color w:val="auto"/>
          <w:spacing w:val="0"/>
          <w:sz w:val="28"/>
          <w:szCs w:val="28"/>
          <w:highlight w:val="none"/>
          <w:u w:val="none"/>
          <w:shd w:val="clear" w:fill="FFFFFF"/>
          <w:lang w:val="en-US" w:eastAsia="zh-CN"/>
        </w:rPr>
        <w:t>，需经属地乡镇（管委会）书面审核同意后方可再向相关部门申请办理，并同步纳入全生命周期管理。“标准地”出让的工业用地在达产验收通过之前转让国有建设用地使用权或在转让国有建设用地使用权时项目业主在上年的“亩均论英雄综合评价”中被评为C、D类的，国有建设用地使用权转让时必须由属地政府（或县政府授权收购、收储主体）按本宗地《出让合同》约定的出让价格优先收购。</w:t>
      </w:r>
      <w:r>
        <w:rPr>
          <w:rFonts w:hint="default" w:ascii="Times New Roman" w:hAnsi="Times New Roman" w:eastAsia="仿宋" w:cs="Times New Roman"/>
          <w:i w:val="0"/>
          <w:caps w:val="0"/>
          <w:color w:val="auto"/>
          <w:spacing w:val="0"/>
          <w:sz w:val="28"/>
          <w:szCs w:val="28"/>
          <w:highlight w:val="none"/>
          <w:u w:val="none"/>
          <w:shd w:val="clear" w:fill="FFFFFF"/>
          <w:lang w:val="zh-TW" w:eastAsia="zh-CN"/>
        </w:rPr>
        <w:t>若属地</w:t>
      </w:r>
      <w:r>
        <w:rPr>
          <w:rFonts w:hint="default" w:ascii="Times New Roman" w:hAnsi="Times New Roman" w:eastAsia="仿宋" w:cs="Times New Roman"/>
          <w:i w:val="0"/>
          <w:caps w:val="0"/>
          <w:color w:val="auto"/>
          <w:spacing w:val="0"/>
          <w:sz w:val="28"/>
          <w:szCs w:val="28"/>
          <w:highlight w:val="none"/>
          <w:u w:val="none"/>
          <w:shd w:val="clear" w:fill="FFFFFF"/>
          <w:lang w:val="en-US" w:eastAsia="zh-CN"/>
        </w:rPr>
        <w:t>乡镇明确</w:t>
      </w:r>
      <w:r>
        <w:rPr>
          <w:rFonts w:hint="default" w:ascii="Times New Roman" w:hAnsi="Times New Roman" w:eastAsia="仿宋" w:cs="Times New Roman"/>
          <w:i w:val="0"/>
          <w:caps w:val="0"/>
          <w:color w:val="auto"/>
          <w:spacing w:val="0"/>
          <w:sz w:val="28"/>
          <w:szCs w:val="28"/>
          <w:highlight w:val="none"/>
          <w:u w:val="none"/>
          <w:shd w:val="clear" w:fill="FFFFFF"/>
          <w:lang w:val="zh-TW" w:eastAsia="zh-CN"/>
        </w:rPr>
        <w:t>放弃回购的，</w:t>
      </w:r>
      <w:r>
        <w:rPr>
          <w:rFonts w:hint="default" w:ascii="Times New Roman" w:hAnsi="Times New Roman" w:eastAsia="仿宋" w:cs="Times New Roman"/>
          <w:i w:val="0"/>
          <w:caps w:val="0"/>
          <w:color w:val="auto"/>
          <w:spacing w:val="0"/>
          <w:sz w:val="28"/>
          <w:szCs w:val="28"/>
          <w:highlight w:val="none"/>
          <w:u w:val="none"/>
          <w:shd w:val="clear" w:fill="FFFFFF"/>
          <w:lang w:val="en-US" w:eastAsia="zh-CN"/>
        </w:rPr>
        <w:t>属地乡镇（管委会）完成宗地履约情况核实、违约责任追究、新项目产业准入条件后，方可转让第三人；</w:t>
      </w:r>
      <w:r>
        <w:rPr>
          <w:rFonts w:hint="default" w:ascii="Times New Roman" w:hAnsi="Times New Roman" w:eastAsia="仿宋" w:cs="Times New Roman"/>
          <w:i w:val="0"/>
          <w:caps w:val="0"/>
          <w:color w:val="auto"/>
          <w:spacing w:val="0"/>
          <w:sz w:val="28"/>
          <w:szCs w:val="28"/>
          <w:highlight w:val="none"/>
          <w:u w:val="none"/>
          <w:shd w:val="clear" w:fill="FFFFFF"/>
          <w:lang w:val="zh-TW" w:eastAsia="zh-CN"/>
        </w:rPr>
        <w:t>属地乡镇</w:t>
      </w:r>
      <w:r>
        <w:rPr>
          <w:rFonts w:hint="default" w:ascii="Times New Roman" w:hAnsi="Times New Roman" w:eastAsia="仿宋" w:cs="Times New Roman"/>
          <w:i w:val="0"/>
          <w:caps w:val="0"/>
          <w:color w:val="auto"/>
          <w:spacing w:val="0"/>
          <w:sz w:val="28"/>
          <w:szCs w:val="28"/>
          <w:highlight w:val="none"/>
          <w:u w:val="none"/>
          <w:shd w:val="clear" w:fill="FFFFFF"/>
          <w:lang w:val="en-US" w:eastAsia="zh-CN"/>
        </w:rPr>
        <w:t>（管委会）与受让人重新签订《投资合同》，约定土地后</w:t>
      </w: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续利用产业定位、开竣工时间、投资强度、税收等指标。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pPr>
      <w:r>
        <w:rPr>
          <w:rFonts w:hint="default" w:ascii="Times New Roman" w:hAnsi="Times New Roman" w:eastAsia="仿宋" w:cs="Times New Roman"/>
          <w:i w:val="0"/>
          <w:caps w:val="0"/>
          <w:color w:val="auto"/>
          <w:spacing w:val="0"/>
          <w:sz w:val="28"/>
          <w:szCs w:val="28"/>
          <w:highlight w:val="none"/>
          <w:u w:val="none"/>
          <w:shd w:val="clear" w:fill="FFFFFF"/>
          <w:lang w:val="en-US" w:eastAsia="zh-CN"/>
        </w:rPr>
        <w:t>2、</w:t>
      </w: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“标准地”</w:t>
      </w:r>
      <w:r>
        <w:rPr>
          <w:rFonts w:hint="default" w:ascii="Times New Roman" w:hAnsi="Times New Roman" w:eastAsia="仿宋" w:cs="Times New Roman"/>
          <w:i w:val="0"/>
          <w:caps w:val="0"/>
          <w:color w:val="auto"/>
          <w:spacing w:val="0"/>
          <w:sz w:val="28"/>
          <w:szCs w:val="28"/>
          <w:highlight w:val="none"/>
          <w:u w:val="none"/>
          <w:shd w:val="clear" w:fill="FFFFFF"/>
          <w:lang w:val="en-US" w:eastAsia="zh-CN"/>
        </w:rPr>
        <w:t>项目</w:t>
      </w: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 xml:space="preserve">达产验收通过之后5年内原则上不允许转让土地使用权的，如确需转让的，由属地政府（或国资公司）按土地供地价，地上建筑物按评估价收回；在达产验收通过5年之后转让土地使用权的，项目业主须将宗地投资建设受投资合同约束情况如实告知其受让方，并保证投资合同的主体从变更为其受让方。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pP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（二）司法拍卖要求。</w:t>
      </w:r>
    </w:p>
    <w:p>
      <w:pPr>
        <w:ind w:firstLine="560" w:firstLineChars="200"/>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pP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对司法处置存量</w:t>
      </w:r>
      <w:r>
        <w:rPr>
          <w:rFonts w:hint="eastAsia"/>
          <w:highlight w:val="none"/>
          <w:lang w:eastAsia="zh-CN"/>
        </w:rPr>
        <w:t>纳入履约管理的</w:t>
      </w: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工业用地（不动产）使用权拍卖设置条件，将产业准入、投资强度、亩均税收等相关指标纳入拍卖条件，竞买人竞得工业用地后，受让人先与属地乡镇（管委会）签订《投资合同》，再凭《司法拍卖成交确认书》和《投资合同》到资规部门凭办理不动产转移登记手续，共同推动全县工业用地高质量发展。</w:t>
      </w:r>
    </w:p>
    <w:p>
      <w:pPr>
        <w:pStyle w:val="2"/>
        <w:rPr>
          <w:rFonts w:hint="default" w:ascii="Times New Roman" w:hAnsi="Times New Roman" w:eastAsia="宋体" w:cs="Times New Roman"/>
          <w:kern w:val="0"/>
          <w:sz w:val="21"/>
          <w:szCs w:val="21"/>
          <w:highlight w:val="none"/>
          <w:u w:val="single"/>
          <w:lang w:val="en-US" w:eastAsia="zh-CN" w:bidi="ar"/>
        </w:rPr>
      </w:pPr>
      <w:r>
        <w:rPr>
          <w:rFonts w:hint="default" w:ascii="Times New Roman" w:hAnsi="Times New Roman" w:eastAsia="宋体" w:cs="Times New Roman"/>
          <w:kern w:val="0"/>
          <w:sz w:val="21"/>
          <w:szCs w:val="21"/>
          <w:highlight w:val="none"/>
          <w:u w:val="single"/>
          <w:lang w:val="en-US" w:eastAsia="zh-CN" w:bidi="ar"/>
        </w:rPr>
        <w:t>法院反馈意见：将“标准地”指标纳入司法拍卖条件应以该宗地土地招拍挂时就设定“标准地”指标条件为前提。对于“标准地”制度实施前出让土地的工业不动产，不应要求司法拍卖设定“标准地”指标。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pP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（三）股权变更管理要求。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pP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加强工业用地股权转让、投资入股管理，建立县市监局、属地政府、县经信局、县资规局等部门联动机制。</w:t>
      </w:r>
      <w:r>
        <w:rPr>
          <w:rFonts w:hint="default" w:ascii="Times New Roman" w:hAnsi="Times New Roman" w:eastAsia="仿宋" w:cs="Times New Roman"/>
          <w:i w:val="0"/>
          <w:caps w:val="0"/>
          <w:color w:val="auto"/>
          <w:spacing w:val="0"/>
          <w:kern w:val="0"/>
          <w:sz w:val="28"/>
          <w:szCs w:val="28"/>
          <w:highlight w:val="none"/>
          <w:u w:val="single"/>
          <w:shd w:val="clear" w:fill="FFFFFF"/>
          <w:lang w:val="en-US" w:eastAsia="zh-CN" w:bidi="ar"/>
        </w:rPr>
        <w:t>办理股权转让、投资入股等手续前，县市场监管局应提示企业征求属地乡镇（管委会）意见，</w:t>
      </w: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属地乡镇（管委会）根据二级市场转让要求向转让意向人出具告知函，并纳入全生命周期管理</w:t>
      </w:r>
      <w:r>
        <w:rPr>
          <w:rFonts w:hint="default" w:ascii="Times New Roman" w:hAnsi="Times New Roman" w:eastAsia="仿宋" w:cs="Times New Roman"/>
          <w:i w:val="0"/>
          <w:caps w:val="0"/>
          <w:color w:val="auto"/>
          <w:spacing w:val="0"/>
          <w:kern w:val="0"/>
          <w:sz w:val="28"/>
          <w:szCs w:val="28"/>
          <w:highlight w:val="none"/>
          <w:u w:val="single"/>
          <w:shd w:val="clear" w:fill="FFFFFF"/>
          <w:lang w:val="en-US" w:eastAsia="zh-CN" w:bidi="ar"/>
        </w:rPr>
        <w:t>，市场监督管理部门凭属地乡镇（管委会）意见办理股权变更登记手续</w:t>
      </w: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 w:cs="Times New Roman"/>
          <w:i w:val="0"/>
          <w:caps w:val="0"/>
          <w:color w:val="auto"/>
          <w:spacing w:val="0"/>
          <w:kern w:val="0"/>
          <w:sz w:val="28"/>
          <w:szCs w:val="28"/>
          <w:highlight w:val="none"/>
          <w:u w:val="single"/>
          <w:shd w:val="clear" w:fill="FFFFFF"/>
          <w:lang w:val="en-US" w:eastAsia="zh-CN" w:bidi="ar"/>
        </w:rPr>
      </w:pPr>
      <w:r>
        <w:rPr>
          <w:rFonts w:hint="default" w:ascii="Times New Roman" w:hAnsi="Times New Roman" w:eastAsia="宋体" w:cs="Times New Roman"/>
          <w:kern w:val="0"/>
          <w:sz w:val="21"/>
          <w:szCs w:val="21"/>
          <w:highlight w:val="none"/>
          <w:u w:val="single"/>
          <w:lang w:val="en-US" w:eastAsia="zh-CN" w:bidi="ar"/>
        </w:rPr>
        <w:t>市监部门建议修正为: (三) 股权变更管理要求。加强工业用地股权转让、投资入股管理，建立县市监局、属地政府、县经信局、县资规局等部门联动机制。属地乡镇(管委会)根据二级市场转让要求向转让意向人出具告知函，并纳入全生命周期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pP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（四）“退二进三”管理要求。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92" w:rightChars="-44" w:firstLine="560" w:firstLineChars="200"/>
        <w:textAlignment w:val="auto"/>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pP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工业用地临时性“退二进三”纳入全生命周期管理，仍需按原投资合同约定条款继续履约；永久性“退二进三”不能继续履约的，土地所有人应支付不能履约产生的违约金，违约金金额按投资合同中关于税收差价部分的约定进行计算，计算期自原投资合同签订之日起至县政府批准永久性“退二进三”之日止，违约金支付后原投资合同自动终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 w:cs="Times New Roman"/>
          <w:b w:val="0"/>
          <w:bCs w:val="0"/>
          <w:i w:val="0"/>
          <w:caps w:val="0"/>
          <w:color w:val="auto"/>
          <w:spacing w:val="0"/>
          <w:kern w:val="0"/>
          <w:sz w:val="28"/>
          <w:szCs w:val="28"/>
          <w:highlight w:val="none"/>
          <w:u w:val="none"/>
          <w:shd w:val="clear" w:fill="FFFFFF"/>
          <w:lang w:val="en-US" w:eastAsia="zh-CN" w:bidi="ar"/>
        </w:rPr>
      </w:pPr>
      <w:r>
        <w:rPr>
          <w:rFonts w:hint="default" w:ascii="Times New Roman" w:hAnsi="Times New Roman" w:eastAsia="仿宋" w:cs="Times New Roman"/>
          <w:b/>
          <w:bCs/>
          <w:i w:val="0"/>
          <w:caps w:val="0"/>
          <w:color w:val="auto"/>
          <w:spacing w:val="0"/>
          <w:kern w:val="0"/>
          <w:sz w:val="28"/>
          <w:szCs w:val="28"/>
          <w:highlight w:val="none"/>
          <w:u w:val="none"/>
          <w:shd w:val="clear" w:fill="FFFFFF"/>
          <w:lang w:val="en-US" w:eastAsia="zh-CN" w:bidi="ar"/>
        </w:rPr>
        <w:t xml:space="preserve"> </w:t>
      </w:r>
      <w:r>
        <w:rPr>
          <w:rFonts w:hint="default" w:ascii="Times New Roman" w:hAnsi="Times New Roman" w:eastAsia="仿宋" w:cs="Times New Roman"/>
          <w:b w:val="0"/>
          <w:bCs w:val="0"/>
          <w:i w:val="0"/>
          <w:caps w:val="0"/>
          <w:color w:val="auto"/>
          <w:spacing w:val="0"/>
          <w:kern w:val="0"/>
          <w:sz w:val="28"/>
          <w:szCs w:val="28"/>
          <w:highlight w:val="none"/>
          <w:u w:val="none"/>
          <w:shd w:val="clear" w:fill="FFFFFF"/>
          <w:lang w:val="en-US" w:eastAsia="zh-CN" w:bidi="ar"/>
        </w:rPr>
        <w:t>七、严格低效用地退出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2"/>
        <w:jc w:val="both"/>
        <w:textAlignment w:val="auto"/>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i w:val="0"/>
          <w:caps w:val="0"/>
          <w:color w:val="auto"/>
          <w:spacing w:val="0"/>
          <w:sz w:val="28"/>
          <w:szCs w:val="28"/>
          <w:highlight w:val="none"/>
          <w:u w:val="none"/>
          <w:shd w:val="clear" w:fill="FFFFFF"/>
          <w:lang w:eastAsia="zh-CN"/>
        </w:rPr>
        <w:t>开展</w:t>
      </w:r>
      <w:r>
        <w:rPr>
          <w:rFonts w:hint="default" w:ascii="Times New Roman" w:hAnsi="Times New Roman" w:eastAsia="仿宋" w:cs="Times New Roman"/>
          <w:i w:val="0"/>
          <w:caps w:val="0"/>
          <w:color w:val="auto"/>
          <w:spacing w:val="0"/>
          <w:sz w:val="28"/>
          <w:szCs w:val="28"/>
          <w:highlight w:val="none"/>
          <w:u w:val="none"/>
          <w:shd w:val="clear" w:fill="FFFFFF"/>
          <w:lang w:val="en-US" w:eastAsia="zh-CN"/>
        </w:rPr>
        <w:t>以亩均效益评价为基础的各类资源要素差别化配置措施，建立起“正向引导”和“反向倒逼”的双重机制，将全生命周期管理未履约企业、亩产效益综合评价D类企业、“低效用地”企业列为联合监管重点对象。加强不动产登记、工商登记等环节管控，禁止低效工业用地以各种形式违规违约转让。</w:t>
      </w:r>
      <w:r>
        <w:rPr>
          <w:rFonts w:hint="default" w:ascii="Times New Roman" w:hAnsi="Times New Roman" w:eastAsia="仿宋" w:cs="Times New Roman"/>
          <w:i w:val="0"/>
          <w:caps w:val="0"/>
          <w:color w:val="auto"/>
          <w:spacing w:val="0"/>
          <w:sz w:val="28"/>
          <w:szCs w:val="28"/>
          <w:highlight w:val="none"/>
          <w:u w:val="none"/>
          <w:shd w:val="clear" w:fill="FFFFFF"/>
          <w:lang w:eastAsia="zh-CN"/>
        </w:rPr>
        <w:t>已纳入全生命周期管理的工业用地，亩产效益综合评价连续两年被评为D类企业或连续三年被评为C类企业（含）以下的，</w:t>
      </w:r>
      <w:r>
        <w:rPr>
          <w:rFonts w:hint="default" w:ascii="Times New Roman" w:hAnsi="Times New Roman" w:eastAsia="仿宋" w:cs="Times New Roman"/>
          <w:i w:val="0"/>
          <w:caps w:val="0"/>
          <w:color w:val="auto"/>
          <w:spacing w:val="0"/>
          <w:sz w:val="28"/>
          <w:szCs w:val="28"/>
          <w:highlight w:val="none"/>
          <w:u w:val="none"/>
          <w:shd w:val="clear" w:fill="FFFFFF"/>
          <w:lang w:val="en-US" w:eastAsia="zh-CN"/>
        </w:rPr>
        <w:t>列入乡镇（管委会）重点腾退对象；对连续三年D类或连续两年</w:t>
      </w:r>
      <w:r>
        <w:rPr>
          <w:rFonts w:hint="default" w:ascii="Times New Roman" w:hAnsi="Times New Roman" w:eastAsia="仿宋" w:cs="Times New Roman"/>
          <w:i w:val="0"/>
          <w:caps w:val="0"/>
          <w:color w:val="auto"/>
          <w:spacing w:val="0"/>
          <w:sz w:val="28"/>
          <w:szCs w:val="28"/>
          <w:highlight w:val="none"/>
          <w:u w:val="none"/>
          <w:shd w:val="clear" w:fill="FFFFFF"/>
          <w:lang w:eastAsia="zh-CN"/>
        </w:rPr>
        <w:t>亩均税收低于约定标准</w:t>
      </w:r>
      <w:r>
        <w:rPr>
          <w:rFonts w:hint="default" w:ascii="Times New Roman" w:hAnsi="Times New Roman" w:eastAsia="仿宋" w:cs="Times New Roman"/>
          <w:i w:val="0"/>
          <w:caps w:val="0"/>
          <w:color w:val="auto"/>
          <w:spacing w:val="0"/>
          <w:sz w:val="28"/>
          <w:szCs w:val="28"/>
          <w:highlight w:val="none"/>
          <w:u w:val="none"/>
          <w:shd w:val="clear" w:fill="FFFFFF"/>
          <w:lang w:val="en-US" w:eastAsia="zh-CN"/>
        </w:rPr>
        <w:t>3</w:t>
      </w:r>
      <w:r>
        <w:rPr>
          <w:rFonts w:hint="default" w:ascii="Times New Roman" w:hAnsi="Times New Roman" w:eastAsia="仿宋" w:cs="Times New Roman"/>
          <w:i w:val="0"/>
          <w:caps w:val="0"/>
          <w:color w:val="auto"/>
          <w:spacing w:val="0"/>
          <w:sz w:val="28"/>
          <w:szCs w:val="28"/>
          <w:highlight w:val="none"/>
          <w:u w:val="none"/>
          <w:shd w:val="clear" w:fill="FFFFFF"/>
          <w:lang w:eastAsia="zh-CN"/>
        </w:rPr>
        <w:t>0%的</w:t>
      </w:r>
      <w:r>
        <w:rPr>
          <w:rFonts w:hint="default" w:ascii="Times New Roman" w:hAnsi="Times New Roman" w:eastAsia="仿宋" w:cs="Times New Roman"/>
          <w:i w:val="0"/>
          <w:caps w:val="0"/>
          <w:color w:val="auto"/>
          <w:spacing w:val="0"/>
          <w:sz w:val="28"/>
          <w:szCs w:val="28"/>
          <w:highlight w:val="none"/>
          <w:u w:val="none"/>
          <w:shd w:val="clear" w:fill="FFFFFF"/>
          <w:lang w:val="en-US" w:eastAsia="zh-CN"/>
        </w:rPr>
        <w:t>企业，</w:t>
      </w:r>
      <w:r>
        <w:rPr>
          <w:rFonts w:hint="default" w:ascii="Times New Roman" w:hAnsi="Times New Roman" w:eastAsia="仿宋" w:cs="Times New Roman"/>
          <w:i w:val="0"/>
          <w:caps w:val="0"/>
          <w:color w:val="auto"/>
          <w:spacing w:val="0"/>
          <w:sz w:val="28"/>
          <w:szCs w:val="28"/>
          <w:highlight w:val="none"/>
          <w:u w:val="none"/>
          <w:shd w:val="clear" w:fill="FFFFFF"/>
          <w:lang w:eastAsia="zh-CN"/>
        </w:rPr>
        <w:t>属地乡镇（管委会）有权根据《投资合同》、《出让合同》</w:t>
      </w:r>
      <w:r>
        <w:rPr>
          <w:rFonts w:hint="default" w:ascii="Times New Roman" w:hAnsi="Times New Roman" w:eastAsia="仿宋" w:cs="Times New Roman"/>
          <w:color w:val="auto"/>
          <w:sz w:val="28"/>
          <w:szCs w:val="28"/>
          <w:highlight w:val="none"/>
          <w:lang w:val="en-US" w:eastAsia="zh-CN"/>
        </w:rPr>
        <w:t>函告县</w:t>
      </w:r>
      <w:r>
        <w:rPr>
          <w:rFonts w:hint="default" w:ascii="Times New Roman" w:hAnsi="Times New Roman" w:eastAsia="仿宋" w:cs="Times New Roman"/>
          <w:i w:val="0"/>
          <w:caps w:val="0"/>
          <w:color w:val="auto"/>
          <w:spacing w:val="0"/>
          <w:sz w:val="28"/>
          <w:szCs w:val="28"/>
          <w:highlight w:val="none"/>
          <w:u w:val="none"/>
          <w:shd w:val="clear" w:fill="FFFFFF"/>
          <w:lang w:eastAsia="zh-CN"/>
        </w:rPr>
        <w:t>资规局，由</w:t>
      </w:r>
      <w:r>
        <w:rPr>
          <w:rFonts w:hint="default" w:ascii="Times New Roman" w:hAnsi="Times New Roman" w:eastAsia="仿宋" w:cs="Times New Roman"/>
          <w:color w:val="auto"/>
          <w:sz w:val="28"/>
          <w:szCs w:val="28"/>
          <w:highlight w:val="none"/>
          <w:lang w:val="en-US" w:eastAsia="zh-CN"/>
        </w:rPr>
        <w:t>县</w:t>
      </w:r>
      <w:r>
        <w:rPr>
          <w:rFonts w:hint="default" w:ascii="Times New Roman" w:hAnsi="Times New Roman" w:eastAsia="仿宋" w:cs="Times New Roman"/>
          <w:i w:val="0"/>
          <w:caps w:val="0"/>
          <w:color w:val="auto"/>
          <w:spacing w:val="0"/>
          <w:sz w:val="28"/>
          <w:szCs w:val="28"/>
          <w:highlight w:val="none"/>
          <w:u w:val="none"/>
          <w:shd w:val="clear" w:fill="FFFFFF"/>
          <w:lang w:eastAsia="zh-CN"/>
        </w:rPr>
        <w:t>资规局解除土地出让合同；</w:t>
      </w:r>
      <w:r>
        <w:rPr>
          <w:rFonts w:hint="default" w:ascii="Times New Roman" w:hAnsi="Times New Roman" w:eastAsia="仿宋" w:cs="Times New Roman"/>
          <w:color w:val="auto"/>
          <w:sz w:val="28"/>
          <w:szCs w:val="28"/>
          <w:highlight w:val="none"/>
          <w:lang w:val="en-US" w:eastAsia="zh-CN"/>
        </w:rPr>
        <w:t>其中因企业自身原因致项目无法实施的，按原土地款扣除已上缴税费后的价格收回土地，按残值补偿、无偿收回、由受让人恢复原状等方式处置地上建筑物的补偿。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2"/>
        <w:jc w:val="both"/>
        <w:textAlignment w:val="auto"/>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八、盘活工业用地存量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2"/>
        <w:jc w:val="both"/>
        <w:textAlignment w:val="auto"/>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坚持依法处置、有效盘活原则，以亩均产出为导向，以促进土地重新利用为主要目标，严格审核土地出让合同和投资合同履约情况，实现工业用地项目全流程闭环管理。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2"/>
        <w:jc w:val="both"/>
        <w:textAlignment w:val="auto"/>
        <w:rPr>
          <w:rFonts w:hint="default" w:ascii="Times New Roman" w:hAnsi="Times New Roman" w:eastAsia="仿宋" w:cs="Times New Roman"/>
          <w:i w:val="0"/>
          <w:caps w:val="0"/>
          <w:color w:val="auto"/>
          <w:spacing w:val="0"/>
          <w:sz w:val="28"/>
          <w:szCs w:val="28"/>
          <w:highlight w:val="none"/>
          <w:u w:val="none"/>
          <w:shd w:val="clear" w:fill="FFFFFF"/>
          <w:lang w:eastAsia="zh-CN"/>
        </w:rPr>
      </w:pPr>
      <w:r>
        <w:rPr>
          <w:rFonts w:hint="default" w:ascii="Times New Roman" w:hAnsi="Times New Roman" w:eastAsia="仿宋" w:cs="Times New Roman"/>
          <w:color w:val="auto"/>
          <w:sz w:val="28"/>
          <w:szCs w:val="28"/>
          <w:highlight w:val="none"/>
          <w:lang w:val="en-US" w:eastAsia="zh-CN"/>
        </w:rPr>
        <w:t>（一）2010年1月1日至2018年8月30日期间出让的工业用地按照签订的投资合同考核投资、产值、税收等核心指标，存量工业用地</w:t>
      </w: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市场化转让时</w:t>
      </w:r>
      <w:r>
        <w:rPr>
          <w:rFonts w:hint="default" w:ascii="Times New Roman" w:hAnsi="Times New Roman" w:eastAsia="仿宋" w:cs="Times New Roman"/>
          <w:i w:val="0"/>
          <w:caps w:val="0"/>
          <w:color w:val="auto"/>
          <w:spacing w:val="0"/>
          <w:sz w:val="28"/>
          <w:szCs w:val="28"/>
          <w:highlight w:val="none"/>
          <w:u w:val="none"/>
          <w:shd w:val="clear" w:fill="FFFFFF"/>
          <w:lang w:eastAsia="zh-CN"/>
        </w:rPr>
        <w:t>纳入全生命周期管理</w:t>
      </w: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，受让方承受原出让合同和投资合同约定的条件</w:t>
      </w:r>
      <w:r>
        <w:rPr>
          <w:rFonts w:hint="default" w:ascii="Times New Roman" w:hAnsi="Times New Roman" w:eastAsia="仿宋" w:cs="Times New Roman"/>
          <w:i w:val="0"/>
          <w:iCs w:val="0"/>
          <w:caps w:val="0"/>
          <w:color w:val="474747"/>
          <w:spacing w:val="0"/>
          <w:sz w:val="31"/>
          <w:szCs w:val="31"/>
          <w:highlight w:val="none"/>
        </w:rPr>
        <w:t>，</w:t>
      </w:r>
      <w:r>
        <w:rPr>
          <w:rFonts w:hint="default" w:ascii="Times New Roman" w:hAnsi="Times New Roman" w:eastAsia="仿宋" w:cs="Times New Roman"/>
          <w:i w:val="0"/>
          <w:caps w:val="0"/>
          <w:color w:val="auto"/>
          <w:spacing w:val="0"/>
          <w:sz w:val="28"/>
          <w:szCs w:val="28"/>
          <w:highlight w:val="none"/>
          <w:u w:val="none"/>
          <w:shd w:val="clear" w:fill="FFFFFF"/>
          <w:lang w:eastAsia="zh-CN"/>
        </w:rPr>
        <w:t>并与属地乡镇签订《投资合同》，凭《投资合同》办理不动产登记。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pP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二）2010年1月1日之前出让的未纳入全生命周期管理的存量工业用地，在项目改扩建、市场化转让、合法用地违章补办、司法处置、股权转让（股权转让给配偶、父母、子女等对转让人承担直接抚养或赡养义务以外的单位或个人，且累计转让份额在25%以上的）、临时改变土地用途等情形需纳入全生命周期管理，并通过签订补充投资合同明确亩均税收要求不得低于15万元</w:t>
      </w:r>
      <w:r>
        <w:rPr>
          <w:rFonts w:hint="eastAsia"/>
          <w:highlight w:val="none"/>
          <w:lang w:eastAsia="zh-CN"/>
        </w:rPr>
        <w:t>且不得低于上年度温州市行业平均水平</w:t>
      </w: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pP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三）加快低效工业用地整治。加快“用而未尽”项目用地分类处置，通过引导兼并重组、转让、追加投资、依法关停、税务辅导等措施，提高土地利用率和产出率。对于签订项目投资合同并明确投资强度、亩均税收要求和违约处置措施的“建而未投”“投而未达”项目，要严格按照合同约定的要求，分类处置。工业用地以约定达产年限后的每</w:t>
      </w:r>
      <w:r>
        <w:rPr>
          <w:rFonts w:hint="eastAsia" w:ascii="Times New Roman" w:hAnsi="Times New Roman" w:eastAsia="仿宋" w:cs="Times New Roman"/>
          <w:i w:val="0"/>
          <w:caps w:val="0"/>
          <w:color w:val="auto"/>
          <w:spacing w:val="0"/>
          <w:kern w:val="0"/>
          <w:sz w:val="28"/>
          <w:szCs w:val="28"/>
          <w:highlight w:val="none"/>
          <w:u w:val="none"/>
          <w:shd w:val="clear" w:fill="FFFFFF"/>
          <w:lang w:val="en-US" w:eastAsia="zh-CN" w:bidi="ar"/>
        </w:rPr>
        <w:t>2</w:t>
      </w: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年进行一次亩均税收考核验收</w:t>
      </w:r>
      <w:r>
        <w:rPr>
          <w:rFonts w:hint="eastAsia" w:ascii="Times New Roman" w:hAnsi="Times New Roman" w:eastAsia="仿宋" w:cs="Times New Roman"/>
          <w:i w:val="0"/>
          <w:caps w:val="0"/>
          <w:color w:val="auto"/>
          <w:spacing w:val="0"/>
          <w:kern w:val="0"/>
          <w:sz w:val="28"/>
          <w:szCs w:val="28"/>
          <w:highlight w:val="none"/>
          <w:u w:val="none"/>
          <w:shd w:val="clear" w:fill="FFFFFF"/>
          <w:lang w:val="en-US" w:eastAsia="zh-CN" w:bidi="ar"/>
        </w:rPr>
        <w:t>（</w:t>
      </w: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具体参照本办法第五条第4项规定</w:t>
      </w:r>
      <w:r>
        <w:rPr>
          <w:rFonts w:hint="eastAsia" w:ascii="Times New Roman" w:hAnsi="Times New Roman" w:eastAsia="仿宋" w:cs="Times New Roman"/>
          <w:i w:val="0"/>
          <w:caps w:val="0"/>
          <w:color w:val="auto"/>
          <w:spacing w:val="0"/>
          <w:kern w:val="0"/>
          <w:sz w:val="28"/>
          <w:szCs w:val="28"/>
          <w:highlight w:val="none"/>
          <w:u w:val="none"/>
          <w:shd w:val="clear" w:fill="FFFFFF"/>
          <w:lang w:val="en-US" w:eastAsia="zh-CN" w:bidi="ar"/>
        </w:rPr>
        <w:t>）</w:t>
      </w: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w:t>
      </w:r>
      <w:r>
        <w:rPr>
          <w:rFonts w:hint="eastAsia"/>
          <w:highlight w:val="none"/>
          <w:lang w:eastAsia="zh-CN"/>
        </w:rPr>
        <w:t>每年亩均效益评价，实行差别化政策</w:t>
      </w: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jc w:val="both"/>
        <w:textAlignment w:val="auto"/>
        <w:rPr>
          <w:rFonts w:hint="default" w:ascii="Times New Roman" w:hAnsi="Times New Roman" w:eastAsia="仿宋" w:cs="Times New Roman"/>
          <w:i w:val="0"/>
          <w:iCs w:val="0"/>
          <w:caps w:val="0"/>
          <w:color w:val="auto"/>
          <w:spacing w:val="0"/>
          <w:sz w:val="28"/>
          <w:szCs w:val="28"/>
          <w:highlight w:val="none"/>
          <w:shd w:val="clear" w:fill="FFFFFF"/>
        </w:rPr>
      </w:pPr>
      <w:r>
        <w:rPr>
          <w:rFonts w:hint="default" w:ascii="Times New Roman" w:hAnsi="Times New Roman" w:eastAsia="仿宋" w:cs="Times New Roman"/>
          <w:i w:val="0"/>
          <w:iCs w:val="0"/>
          <w:caps w:val="0"/>
          <w:color w:val="auto"/>
          <w:spacing w:val="0"/>
          <w:sz w:val="28"/>
          <w:szCs w:val="28"/>
          <w:highlight w:val="none"/>
          <w:shd w:val="clear" w:fill="FFFFFF"/>
          <w:lang w:eastAsia="zh-CN"/>
        </w:rPr>
        <w:t>九、</w:t>
      </w:r>
      <w:r>
        <w:rPr>
          <w:rFonts w:hint="default" w:ascii="Times New Roman" w:hAnsi="Times New Roman" w:eastAsia="仿宋" w:cs="Times New Roman"/>
          <w:i w:val="0"/>
          <w:iCs w:val="0"/>
          <w:caps w:val="0"/>
          <w:color w:val="auto"/>
          <w:spacing w:val="0"/>
          <w:sz w:val="28"/>
          <w:szCs w:val="28"/>
          <w:highlight w:val="none"/>
          <w:shd w:val="clear" w:fill="FFFFFF"/>
        </w:rPr>
        <w:t>建立</w:t>
      </w:r>
      <w:r>
        <w:rPr>
          <w:rFonts w:hint="default" w:ascii="Times New Roman" w:hAnsi="Times New Roman" w:eastAsia="仿宋" w:cs="Times New Roman"/>
          <w:i w:val="0"/>
          <w:iCs w:val="0"/>
          <w:caps w:val="0"/>
          <w:color w:val="auto"/>
          <w:spacing w:val="0"/>
          <w:sz w:val="28"/>
          <w:szCs w:val="28"/>
          <w:highlight w:val="none"/>
          <w:shd w:val="clear" w:fill="FFFFFF"/>
          <w:lang w:eastAsia="zh-CN"/>
        </w:rPr>
        <w:t>工业</w:t>
      </w:r>
      <w:r>
        <w:rPr>
          <w:rFonts w:hint="default" w:ascii="Times New Roman" w:hAnsi="Times New Roman" w:eastAsia="仿宋" w:cs="Times New Roman"/>
          <w:i w:val="0"/>
          <w:iCs w:val="0"/>
          <w:caps w:val="0"/>
          <w:color w:val="auto"/>
          <w:spacing w:val="0"/>
          <w:sz w:val="28"/>
          <w:szCs w:val="28"/>
          <w:highlight w:val="none"/>
          <w:shd w:val="clear" w:fill="FFFFFF"/>
        </w:rPr>
        <w:t>用地高质量利用保障机制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pP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（一）明确职责分工。</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i w:val="0"/>
          <w:caps w:val="0"/>
          <w:color w:val="auto"/>
          <w:spacing w:val="0"/>
          <w:sz w:val="28"/>
          <w:szCs w:val="28"/>
          <w:highlight w:val="none"/>
          <w:u w:val="none"/>
          <w:shd w:val="clear" w:fill="FFFFFF"/>
          <w:lang w:val="en-US" w:eastAsia="zh-CN"/>
        </w:rPr>
        <w:t xml:space="preserve">    </w:t>
      </w:r>
      <w:r>
        <w:rPr>
          <w:rFonts w:hint="default" w:ascii="Times New Roman" w:hAnsi="Times New Roman" w:eastAsia="仿宋" w:cs="Times New Roman"/>
          <w:sz w:val="28"/>
          <w:szCs w:val="28"/>
          <w:highlight w:val="none"/>
        </w:rPr>
        <w:t>成立</w:t>
      </w:r>
      <w:r>
        <w:rPr>
          <w:rFonts w:hint="default" w:ascii="Times New Roman" w:hAnsi="Times New Roman" w:eastAsia="仿宋" w:cs="Times New Roman"/>
          <w:sz w:val="28"/>
          <w:szCs w:val="28"/>
          <w:highlight w:val="none"/>
          <w:lang w:eastAsia="zh-CN"/>
        </w:rPr>
        <w:t>平阳县</w:t>
      </w:r>
      <w:r>
        <w:rPr>
          <w:rFonts w:hint="default" w:ascii="Times New Roman" w:hAnsi="Times New Roman" w:eastAsia="仿宋" w:cs="Times New Roman"/>
          <w:sz w:val="28"/>
          <w:szCs w:val="28"/>
          <w:highlight w:val="none"/>
          <w:lang w:val="en-US" w:eastAsia="zh-CN"/>
        </w:rPr>
        <w:t>工业用地全生命周期管理工作</w:t>
      </w:r>
      <w:r>
        <w:rPr>
          <w:rFonts w:hint="default" w:ascii="Times New Roman" w:hAnsi="Times New Roman" w:eastAsia="仿宋" w:cs="Times New Roman"/>
          <w:sz w:val="28"/>
          <w:szCs w:val="28"/>
          <w:highlight w:val="none"/>
        </w:rPr>
        <w:t>领导小组，领导小组由</w:t>
      </w:r>
      <w:r>
        <w:rPr>
          <w:rFonts w:hint="default" w:ascii="Times New Roman" w:hAnsi="Times New Roman" w:eastAsia="仿宋" w:cs="Times New Roman"/>
          <w:sz w:val="28"/>
          <w:szCs w:val="28"/>
          <w:highlight w:val="none"/>
          <w:lang w:eastAsia="zh-CN"/>
        </w:rPr>
        <w:t>县长</w:t>
      </w:r>
      <w:r>
        <w:rPr>
          <w:rFonts w:hint="default" w:ascii="Times New Roman" w:hAnsi="Times New Roman" w:eastAsia="仿宋" w:cs="Times New Roman"/>
          <w:sz w:val="28"/>
          <w:szCs w:val="28"/>
          <w:highlight w:val="none"/>
        </w:rPr>
        <w:t>任组长，工业分管</w:t>
      </w:r>
      <w:r>
        <w:rPr>
          <w:rFonts w:hint="default" w:ascii="Times New Roman" w:hAnsi="Times New Roman" w:eastAsia="仿宋" w:cs="Times New Roman"/>
          <w:sz w:val="28"/>
          <w:szCs w:val="28"/>
          <w:highlight w:val="none"/>
          <w:lang w:eastAsia="zh-CN"/>
        </w:rPr>
        <w:t>副县</w:t>
      </w:r>
      <w:r>
        <w:rPr>
          <w:rFonts w:hint="default" w:ascii="Times New Roman" w:hAnsi="Times New Roman" w:eastAsia="仿宋" w:cs="Times New Roman"/>
          <w:sz w:val="28"/>
          <w:szCs w:val="28"/>
          <w:highlight w:val="none"/>
        </w:rPr>
        <w:t>长任副组长，</w:t>
      </w:r>
      <w:r>
        <w:rPr>
          <w:rFonts w:hint="default" w:ascii="Times New Roman" w:hAnsi="Times New Roman" w:eastAsia="仿宋" w:cs="Times New Roman"/>
          <w:sz w:val="28"/>
          <w:szCs w:val="28"/>
          <w:highlight w:val="none"/>
          <w:lang w:eastAsia="zh-CN"/>
        </w:rPr>
        <w:t>县</w:t>
      </w:r>
      <w:r>
        <w:rPr>
          <w:rFonts w:hint="default" w:ascii="Times New Roman" w:hAnsi="Times New Roman" w:eastAsia="仿宋" w:cs="Times New Roman"/>
          <w:sz w:val="28"/>
          <w:szCs w:val="28"/>
          <w:highlight w:val="none"/>
        </w:rPr>
        <w:t>级相关单位主要</w:t>
      </w:r>
      <w:r>
        <w:rPr>
          <w:rFonts w:hint="default" w:ascii="Times New Roman" w:hAnsi="Times New Roman" w:eastAsia="仿宋" w:cs="Times New Roman"/>
          <w:sz w:val="28"/>
          <w:szCs w:val="28"/>
          <w:highlight w:val="none"/>
          <w:lang w:eastAsia="zh-CN"/>
        </w:rPr>
        <w:t>负责人</w:t>
      </w:r>
      <w:r>
        <w:rPr>
          <w:rFonts w:hint="default" w:ascii="Times New Roman" w:hAnsi="Times New Roman" w:eastAsia="仿宋" w:cs="Times New Roman"/>
          <w:sz w:val="28"/>
          <w:szCs w:val="28"/>
          <w:highlight w:val="none"/>
        </w:rPr>
        <w:t>为成员</w:t>
      </w:r>
      <w:r>
        <w:rPr>
          <w:rFonts w:hint="default" w:ascii="Times New Roman" w:hAnsi="Times New Roman" w:eastAsia="仿宋" w:cs="Times New Roman"/>
          <w:sz w:val="28"/>
          <w:szCs w:val="28"/>
          <w:highlight w:val="none"/>
          <w:lang w:eastAsia="zh-CN"/>
        </w:rPr>
        <w:t>；</w:t>
      </w:r>
      <w:r>
        <w:rPr>
          <w:rFonts w:hint="default" w:ascii="Times New Roman" w:hAnsi="Times New Roman" w:eastAsia="仿宋" w:cs="Times New Roman"/>
          <w:sz w:val="28"/>
          <w:szCs w:val="28"/>
          <w:highlight w:val="none"/>
        </w:rPr>
        <w:t>领导小组下设办公室，办公室设在</w:t>
      </w:r>
      <w:r>
        <w:rPr>
          <w:rFonts w:hint="default" w:ascii="Times New Roman" w:hAnsi="Times New Roman" w:eastAsia="仿宋" w:cs="Times New Roman"/>
          <w:sz w:val="28"/>
          <w:szCs w:val="28"/>
          <w:highlight w:val="none"/>
          <w:lang w:eastAsia="zh-CN"/>
        </w:rPr>
        <w:t>县经信</w:t>
      </w:r>
      <w:r>
        <w:rPr>
          <w:rFonts w:hint="default" w:ascii="Times New Roman" w:hAnsi="Times New Roman" w:eastAsia="仿宋" w:cs="Times New Roman"/>
          <w:sz w:val="28"/>
          <w:szCs w:val="28"/>
          <w:highlight w:val="none"/>
        </w:rPr>
        <w:t>局。</w:t>
      </w:r>
      <w:r>
        <w:rPr>
          <w:rFonts w:hint="default" w:ascii="Times New Roman" w:hAnsi="Times New Roman" w:eastAsia="仿宋" w:cs="Times New Roman"/>
          <w:color w:val="auto"/>
          <w:sz w:val="28"/>
          <w:szCs w:val="28"/>
          <w:highlight w:val="none"/>
          <w:lang w:val="en-US" w:eastAsia="zh-CN"/>
        </w:rPr>
        <w:t>县经信局牵头项目准入审查、工业用地亩产效益综合评价、工业项目达产验收、工业项目全生命周期管理系统建设、工业用地项目投资合同范本指导等相关工作；县资规局负责工业用地出让、项目开竣工履约监管、</w:t>
      </w:r>
      <w:r>
        <w:rPr>
          <w:rFonts w:hint="default" w:ascii="Times New Roman" w:hAnsi="Times New Roman" w:eastAsia="仿宋" w:cs="Times New Roman"/>
          <w:i w:val="0"/>
          <w:caps w:val="0"/>
          <w:color w:val="auto"/>
          <w:spacing w:val="0"/>
          <w:sz w:val="28"/>
          <w:szCs w:val="28"/>
          <w:highlight w:val="none"/>
          <w:u w:val="none"/>
          <w:shd w:val="clear" w:fill="FFFFFF"/>
          <w:lang w:val="en-US" w:eastAsia="zh-CN"/>
        </w:rPr>
        <w:t>涉地企业不动产转让监管、土地出让合同</w:t>
      </w:r>
      <w:r>
        <w:rPr>
          <w:rFonts w:hint="default" w:ascii="Times New Roman" w:hAnsi="Times New Roman" w:eastAsia="仿宋" w:cs="Times New Roman"/>
          <w:i w:val="0"/>
          <w:caps w:val="0"/>
          <w:color w:val="auto"/>
          <w:spacing w:val="0"/>
          <w:sz w:val="28"/>
          <w:szCs w:val="28"/>
          <w:highlight w:val="none"/>
          <w:u w:val="none"/>
          <w:shd w:val="clear" w:fill="FFFFFF"/>
          <w:lang w:eastAsia="zh-CN"/>
        </w:rPr>
        <w:t>约定的</w:t>
      </w:r>
      <w:r>
        <w:rPr>
          <w:rFonts w:hint="default" w:ascii="Times New Roman" w:hAnsi="Times New Roman" w:eastAsia="仿宋" w:cs="Times New Roman"/>
          <w:i w:val="0"/>
          <w:caps w:val="0"/>
          <w:color w:val="auto"/>
          <w:spacing w:val="0"/>
          <w:sz w:val="28"/>
          <w:szCs w:val="28"/>
          <w:highlight w:val="none"/>
          <w:u w:val="none"/>
          <w:shd w:val="clear" w:fill="FFFFFF"/>
          <w:lang w:val="en-US" w:eastAsia="zh-CN"/>
        </w:rPr>
        <w:t>违约责任追究</w:t>
      </w:r>
      <w:r>
        <w:rPr>
          <w:rFonts w:hint="default" w:ascii="Times New Roman" w:hAnsi="Times New Roman" w:eastAsia="仿宋" w:cs="Times New Roman"/>
          <w:color w:val="auto"/>
          <w:sz w:val="28"/>
          <w:szCs w:val="28"/>
          <w:highlight w:val="none"/>
          <w:lang w:val="en-US" w:eastAsia="zh-CN"/>
        </w:rPr>
        <w:t>等工作</w:t>
      </w:r>
      <w:r>
        <w:rPr>
          <w:rFonts w:hint="default" w:ascii="Times New Roman" w:hAnsi="Times New Roman" w:eastAsia="仿宋" w:cs="Times New Roman"/>
          <w:i w:val="0"/>
          <w:caps w:val="0"/>
          <w:color w:val="auto"/>
          <w:spacing w:val="0"/>
          <w:sz w:val="28"/>
          <w:szCs w:val="28"/>
          <w:highlight w:val="none"/>
          <w:u w:val="none"/>
          <w:shd w:val="clear" w:fill="FFFFFF"/>
          <w:lang w:val="en-US" w:eastAsia="zh-CN"/>
        </w:rPr>
        <w:t>；县</w:t>
      </w:r>
      <w:r>
        <w:rPr>
          <w:rFonts w:hint="default" w:ascii="Times New Roman" w:hAnsi="Times New Roman" w:eastAsia="仿宋" w:cs="Times New Roman"/>
          <w:color w:val="auto"/>
          <w:sz w:val="28"/>
          <w:szCs w:val="28"/>
          <w:highlight w:val="none"/>
        </w:rPr>
        <w:t>发改</w:t>
      </w:r>
      <w:r>
        <w:rPr>
          <w:rFonts w:hint="default" w:ascii="Times New Roman" w:hAnsi="Times New Roman" w:eastAsia="仿宋" w:cs="Times New Roman"/>
          <w:color w:val="auto"/>
          <w:sz w:val="28"/>
          <w:szCs w:val="28"/>
          <w:highlight w:val="none"/>
          <w:lang w:val="en-US" w:eastAsia="zh-CN"/>
        </w:rPr>
        <w:t>局负责统筹推进“标准地”改革工作及能耗监管相关工作；</w:t>
      </w:r>
      <w:r>
        <w:rPr>
          <w:rFonts w:hint="default" w:ascii="Times New Roman" w:hAnsi="Times New Roman" w:eastAsia="仿宋" w:cs="Times New Roman"/>
          <w:i w:val="0"/>
          <w:caps w:val="0"/>
          <w:color w:val="auto"/>
          <w:spacing w:val="0"/>
          <w:sz w:val="28"/>
          <w:szCs w:val="28"/>
          <w:highlight w:val="none"/>
          <w:u w:val="none"/>
          <w:shd w:val="clear" w:fill="FFFFFF"/>
        </w:rPr>
        <w:t>市生态环境</w:t>
      </w:r>
      <w:r>
        <w:rPr>
          <w:rFonts w:hint="default" w:ascii="Times New Roman" w:hAnsi="Times New Roman" w:eastAsia="仿宋" w:cs="Times New Roman"/>
          <w:i w:val="0"/>
          <w:caps w:val="0"/>
          <w:color w:val="auto"/>
          <w:spacing w:val="0"/>
          <w:sz w:val="28"/>
          <w:szCs w:val="28"/>
          <w:highlight w:val="none"/>
          <w:u w:val="none"/>
          <w:shd w:val="clear" w:fill="FFFFFF"/>
          <w:lang w:eastAsia="zh-CN"/>
        </w:rPr>
        <w:t>保护平阳分</w:t>
      </w:r>
      <w:r>
        <w:rPr>
          <w:rFonts w:hint="default" w:ascii="Times New Roman" w:hAnsi="Times New Roman" w:eastAsia="仿宋" w:cs="Times New Roman"/>
          <w:i w:val="0"/>
          <w:caps w:val="0"/>
          <w:color w:val="auto"/>
          <w:spacing w:val="0"/>
          <w:sz w:val="28"/>
          <w:szCs w:val="28"/>
          <w:highlight w:val="none"/>
          <w:u w:val="none"/>
          <w:shd w:val="clear" w:fill="FFFFFF"/>
        </w:rPr>
        <w:t>局</w:t>
      </w:r>
      <w:r>
        <w:rPr>
          <w:rFonts w:hint="default" w:ascii="Times New Roman" w:hAnsi="Times New Roman" w:eastAsia="仿宋" w:cs="Times New Roman"/>
          <w:color w:val="auto"/>
          <w:sz w:val="28"/>
          <w:szCs w:val="28"/>
          <w:highlight w:val="none"/>
          <w:lang w:val="en-US" w:eastAsia="zh-CN"/>
        </w:rPr>
        <w:t>负责</w:t>
      </w: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项目生态环境保护符合性审查、</w:t>
      </w:r>
      <w:r>
        <w:rPr>
          <w:rFonts w:hint="default" w:ascii="Times New Roman" w:hAnsi="Times New Roman" w:eastAsia="仿宋" w:cs="Times New Roman"/>
          <w:color w:val="auto"/>
          <w:sz w:val="28"/>
          <w:szCs w:val="28"/>
          <w:highlight w:val="none"/>
          <w:lang w:val="en-US" w:eastAsia="zh-CN"/>
        </w:rPr>
        <w:t>单位排放增加值、土壤和地下水地质环境保护监管相关工作；</w:t>
      </w:r>
      <w:r>
        <w:rPr>
          <w:rFonts w:hint="default" w:ascii="Times New Roman" w:hAnsi="Times New Roman" w:eastAsia="仿宋" w:cs="Times New Roman"/>
          <w:i w:val="0"/>
          <w:caps w:val="0"/>
          <w:color w:val="auto"/>
          <w:spacing w:val="0"/>
          <w:sz w:val="28"/>
          <w:szCs w:val="28"/>
          <w:highlight w:val="none"/>
          <w:u w:val="none"/>
          <w:shd w:val="clear" w:fill="FFFFFF"/>
          <w:lang w:eastAsia="zh-CN"/>
        </w:rPr>
        <w:t>县</w:t>
      </w:r>
      <w:r>
        <w:rPr>
          <w:rFonts w:hint="default" w:ascii="Times New Roman" w:hAnsi="Times New Roman" w:eastAsia="仿宋" w:cs="Times New Roman"/>
          <w:color w:val="auto"/>
          <w:sz w:val="28"/>
          <w:szCs w:val="28"/>
          <w:highlight w:val="none"/>
          <w:lang w:val="en-US" w:eastAsia="zh-CN"/>
        </w:rPr>
        <w:t>科技局负责</w:t>
      </w:r>
      <w:r>
        <w:rPr>
          <w:rFonts w:hint="default" w:ascii="Times New Roman" w:hAnsi="Times New Roman" w:eastAsia="仿宋" w:cs="Times New Roman"/>
          <w:color w:val="auto"/>
          <w:sz w:val="28"/>
          <w:szCs w:val="28"/>
          <w:highlight w:val="none"/>
        </w:rPr>
        <w:t>R&amp;D投入强度</w:t>
      </w:r>
      <w:r>
        <w:rPr>
          <w:rFonts w:hint="default" w:ascii="Times New Roman" w:hAnsi="Times New Roman" w:eastAsia="仿宋" w:cs="Times New Roman"/>
          <w:color w:val="auto"/>
          <w:sz w:val="28"/>
          <w:szCs w:val="28"/>
          <w:highlight w:val="none"/>
          <w:lang w:eastAsia="zh-CN"/>
        </w:rPr>
        <w:t>监管相关工作</w:t>
      </w:r>
      <w:r>
        <w:rPr>
          <w:rFonts w:hint="default" w:ascii="Times New Roman" w:hAnsi="Times New Roman" w:eastAsia="仿宋" w:cs="Times New Roman"/>
          <w:color w:val="auto"/>
          <w:sz w:val="28"/>
          <w:szCs w:val="28"/>
          <w:highlight w:val="none"/>
          <w:lang w:val="en-US" w:eastAsia="zh-CN"/>
        </w:rPr>
        <w:t>；</w:t>
      </w:r>
      <w:r>
        <w:rPr>
          <w:rFonts w:hint="default" w:ascii="Times New Roman" w:hAnsi="Times New Roman" w:eastAsia="仿宋" w:cs="Times New Roman"/>
          <w:i w:val="0"/>
          <w:caps w:val="0"/>
          <w:color w:val="auto"/>
          <w:spacing w:val="0"/>
          <w:sz w:val="28"/>
          <w:szCs w:val="28"/>
          <w:highlight w:val="none"/>
          <w:u w:val="none"/>
          <w:shd w:val="clear" w:fill="FFFFFF"/>
          <w:lang w:eastAsia="zh-CN"/>
        </w:rPr>
        <w:t>县</w:t>
      </w:r>
      <w:r>
        <w:rPr>
          <w:rFonts w:hint="default" w:ascii="Times New Roman" w:hAnsi="Times New Roman" w:eastAsia="仿宋" w:cs="Times New Roman"/>
          <w:color w:val="auto"/>
          <w:sz w:val="28"/>
          <w:szCs w:val="28"/>
          <w:highlight w:val="none"/>
          <w:lang w:val="en-US" w:eastAsia="zh-CN"/>
        </w:rPr>
        <w:t>市场监管局</w:t>
      </w:r>
      <w:r>
        <w:rPr>
          <w:rFonts w:hint="default" w:ascii="Times New Roman" w:hAnsi="Times New Roman" w:eastAsia="仿宋" w:cs="Times New Roman"/>
          <w:i w:val="0"/>
          <w:caps w:val="0"/>
          <w:color w:val="auto"/>
          <w:spacing w:val="0"/>
          <w:sz w:val="28"/>
          <w:szCs w:val="28"/>
          <w:highlight w:val="none"/>
          <w:u w:val="none"/>
          <w:shd w:val="clear" w:fill="FFFFFF"/>
          <w:lang w:eastAsia="zh-CN"/>
        </w:rPr>
        <w:t>依法参与涉地企业股权转让的联合监管，并及时将涉地企业股权转让信息及时告知属地镇（管委会）</w:t>
      </w: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w:t>
      </w:r>
      <w:r>
        <w:rPr>
          <w:rFonts w:hint="default" w:ascii="Times New Roman" w:hAnsi="Times New Roman" w:eastAsia="仿宋" w:cs="Times New Roman"/>
          <w:i w:val="0"/>
          <w:caps w:val="0"/>
          <w:color w:val="auto"/>
          <w:spacing w:val="0"/>
          <w:sz w:val="28"/>
          <w:szCs w:val="28"/>
          <w:highlight w:val="none"/>
          <w:u w:val="none"/>
          <w:shd w:val="clear" w:fill="FFFFFF"/>
        </w:rPr>
        <w:t>各</w:t>
      </w:r>
      <w:r>
        <w:rPr>
          <w:rFonts w:hint="default" w:ascii="Times New Roman" w:hAnsi="Times New Roman" w:eastAsia="仿宋" w:cs="Times New Roman"/>
          <w:i w:val="0"/>
          <w:caps w:val="0"/>
          <w:color w:val="auto"/>
          <w:spacing w:val="0"/>
          <w:sz w:val="28"/>
          <w:szCs w:val="28"/>
          <w:highlight w:val="none"/>
          <w:u w:val="none"/>
          <w:shd w:val="clear" w:fill="FFFFFF"/>
          <w:lang w:eastAsia="zh-CN"/>
        </w:rPr>
        <w:t>乡镇</w:t>
      </w:r>
      <w:r>
        <w:rPr>
          <w:rFonts w:hint="default" w:ascii="Times New Roman" w:hAnsi="Times New Roman" w:eastAsia="仿宋" w:cs="Times New Roman"/>
          <w:i w:val="0"/>
          <w:caps w:val="0"/>
          <w:color w:val="auto"/>
          <w:spacing w:val="0"/>
          <w:sz w:val="28"/>
          <w:szCs w:val="28"/>
          <w:highlight w:val="none"/>
          <w:u w:val="none"/>
          <w:shd w:val="clear" w:fill="FFFFFF"/>
        </w:rPr>
        <w:t>政府</w:t>
      </w:r>
      <w:r>
        <w:rPr>
          <w:rFonts w:hint="default" w:ascii="Times New Roman" w:hAnsi="Times New Roman" w:eastAsia="仿宋" w:cs="Times New Roman"/>
          <w:i w:val="0"/>
          <w:caps w:val="0"/>
          <w:color w:val="auto"/>
          <w:spacing w:val="0"/>
          <w:sz w:val="28"/>
          <w:szCs w:val="28"/>
          <w:highlight w:val="none"/>
          <w:u w:val="none"/>
          <w:shd w:val="clear" w:fill="FFFFFF"/>
          <w:lang w:eastAsia="zh-CN"/>
        </w:rPr>
        <w:t>（</w:t>
      </w:r>
      <w:r>
        <w:rPr>
          <w:rFonts w:hint="default" w:ascii="Times New Roman" w:hAnsi="Times New Roman" w:eastAsia="仿宋" w:cs="Times New Roman"/>
          <w:i w:val="0"/>
          <w:caps w:val="0"/>
          <w:color w:val="auto"/>
          <w:spacing w:val="0"/>
          <w:sz w:val="28"/>
          <w:szCs w:val="28"/>
          <w:highlight w:val="none"/>
          <w:u w:val="none"/>
          <w:shd w:val="clear" w:fill="FFFFFF"/>
        </w:rPr>
        <w:t>管委会</w:t>
      </w:r>
      <w:r>
        <w:rPr>
          <w:rFonts w:hint="default" w:ascii="Times New Roman" w:hAnsi="Times New Roman" w:eastAsia="仿宋" w:cs="Times New Roman"/>
          <w:i w:val="0"/>
          <w:caps w:val="0"/>
          <w:color w:val="auto"/>
          <w:spacing w:val="0"/>
          <w:sz w:val="28"/>
          <w:szCs w:val="28"/>
          <w:highlight w:val="none"/>
          <w:u w:val="none"/>
          <w:shd w:val="clear" w:fill="FFFFFF"/>
          <w:lang w:eastAsia="zh-CN"/>
        </w:rPr>
        <w:t>）</w:t>
      </w:r>
      <w:r>
        <w:rPr>
          <w:rFonts w:hint="default" w:ascii="Times New Roman" w:hAnsi="Times New Roman" w:eastAsia="仿宋" w:cs="Times New Roman"/>
          <w:i w:val="0"/>
          <w:caps w:val="0"/>
          <w:color w:val="auto"/>
          <w:spacing w:val="0"/>
          <w:sz w:val="28"/>
          <w:szCs w:val="28"/>
          <w:highlight w:val="none"/>
          <w:u w:val="none"/>
          <w:shd w:val="clear" w:fill="FFFFFF"/>
        </w:rPr>
        <w:t>作为</w:t>
      </w:r>
      <w:r>
        <w:rPr>
          <w:rFonts w:hint="default" w:ascii="Times New Roman" w:hAnsi="Times New Roman" w:eastAsia="仿宋" w:cs="Times New Roman"/>
          <w:i w:val="0"/>
          <w:caps w:val="0"/>
          <w:color w:val="auto"/>
          <w:spacing w:val="0"/>
          <w:sz w:val="28"/>
          <w:szCs w:val="28"/>
          <w:highlight w:val="none"/>
          <w:u w:val="none"/>
          <w:shd w:val="clear" w:fill="FFFFFF"/>
          <w:lang w:eastAsia="zh-CN"/>
        </w:rPr>
        <w:t>工业</w:t>
      </w:r>
      <w:r>
        <w:rPr>
          <w:rFonts w:hint="default" w:ascii="Times New Roman" w:hAnsi="Times New Roman" w:eastAsia="仿宋" w:cs="Times New Roman"/>
          <w:i w:val="0"/>
          <w:caps w:val="0"/>
          <w:color w:val="auto"/>
          <w:spacing w:val="0"/>
          <w:sz w:val="28"/>
          <w:szCs w:val="28"/>
          <w:highlight w:val="none"/>
          <w:u w:val="none"/>
          <w:shd w:val="clear" w:fill="FFFFFF"/>
        </w:rPr>
        <w:t>用地高质量利用的责任主体，需建立对应专门机制，负责</w:t>
      </w:r>
      <w:r>
        <w:rPr>
          <w:rFonts w:hint="default" w:ascii="Times New Roman" w:hAnsi="Times New Roman" w:eastAsia="仿宋" w:cs="Times New Roman"/>
          <w:i w:val="0"/>
          <w:caps w:val="0"/>
          <w:color w:val="auto"/>
          <w:spacing w:val="0"/>
          <w:sz w:val="28"/>
          <w:szCs w:val="28"/>
          <w:highlight w:val="none"/>
          <w:u w:val="none"/>
          <w:shd w:val="clear" w:fill="FFFFFF"/>
          <w:lang w:eastAsia="zh-CN"/>
        </w:rPr>
        <w:t>工业</w:t>
      </w:r>
      <w:r>
        <w:rPr>
          <w:rFonts w:hint="default" w:ascii="Times New Roman" w:hAnsi="Times New Roman" w:eastAsia="仿宋" w:cs="Times New Roman"/>
          <w:i w:val="0"/>
          <w:caps w:val="0"/>
          <w:color w:val="auto"/>
          <w:spacing w:val="0"/>
          <w:sz w:val="28"/>
          <w:szCs w:val="28"/>
          <w:highlight w:val="none"/>
          <w:u w:val="none"/>
          <w:shd w:val="clear" w:fill="FFFFFF"/>
        </w:rPr>
        <w:t>用地高质量利用涉及项目准入、用地出让、绩效评价、低效退出等具体工作</w:t>
      </w:r>
      <w:r>
        <w:rPr>
          <w:rFonts w:hint="default" w:ascii="Times New Roman" w:hAnsi="Times New Roman" w:eastAsia="仿宋" w:cs="Times New Roman"/>
          <w:i w:val="0"/>
          <w:caps w:val="0"/>
          <w:color w:val="auto"/>
          <w:spacing w:val="0"/>
          <w:sz w:val="28"/>
          <w:szCs w:val="28"/>
          <w:highlight w:val="none"/>
          <w:u w:val="none"/>
          <w:shd w:val="clear" w:fill="FFFFFF"/>
          <w:lang w:eastAsia="zh-CN"/>
        </w:rPr>
        <w:t>；</w:t>
      </w:r>
      <w:r>
        <w:rPr>
          <w:rFonts w:hint="default" w:ascii="Times New Roman" w:hAnsi="Times New Roman" w:eastAsia="仿宋" w:cs="Times New Roman"/>
          <w:i w:val="0"/>
          <w:caps w:val="0"/>
          <w:color w:val="auto"/>
          <w:spacing w:val="0"/>
          <w:sz w:val="28"/>
          <w:szCs w:val="28"/>
          <w:highlight w:val="none"/>
          <w:u w:val="none"/>
          <w:shd w:val="clear" w:fill="FFFFFF"/>
          <w:lang w:val="en-US" w:eastAsia="zh-CN"/>
        </w:rPr>
        <w:t>存在违法违规违约的要及时通报相关职能部门进行处置；</w:t>
      </w:r>
      <w:r>
        <w:rPr>
          <w:rFonts w:hint="default" w:ascii="Times New Roman" w:hAnsi="Times New Roman" w:eastAsia="仿宋" w:cs="Times New Roman"/>
          <w:color w:val="auto"/>
          <w:sz w:val="28"/>
          <w:szCs w:val="28"/>
          <w:highlight w:val="none"/>
          <w:lang w:val="en-US" w:eastAsia="zh-CN"/>
        </w:rPr>
        <w:t>会同经信等相关部门负责辖区内《企业用地项目投资合同》签订、监管及违约责任追究等工作，</w:t>
      </w:r>
      <w:r>
        <w:rPr>
          <w:rFonts w:hint="default" w:ascii="Times New Roman" w:hAnsi="Times New Roman" w:eastAsia="仿宋" w:cs="Times New Roman"/>
          <w:i w:val="0"/>
          <w:caps w:val="0"/>
          <w:color w:val="auto"/>
          <w:spacing w:val="0"/>
          <w:sz w:val="28"/>
          <w:szCs w:val="28"/>
          <w:highlight w:val="none"/>
          <w:u w:val="none"/>
          <w:shd w:val="clear" w:fill="FFFFFF"/>
          <w:lang w:val="en-US" w:eastAsia="zh-CN"/>
        </w:rPr>
        <w:t>将工业用地利用情况纳入企业法人及股东个人信用评级体系，形成失信联合惩戒的局面。</w:t>
      </w:r>
      <w:r>
        <w:rPr>
          <w:rFonts w:hint="default" w:ascii="Times New Roman" w:hAnsi="Times New Roman" w:eastAsia="仿宋" w:cs="Times New Roman"/>
          <w:color w:val="auto"/>
          <w:sz w:val="28"/>
          <w:szCs w:val="28"/>
          <w:highlight w:val="none"/>
          <w:lang w:val="en-US" w:eastAsia="zh-CN"/>
        </w:rPr>
        <w:t>其他相关部门和单位按照各自职责，做好配合、服务、监管工作。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 w:cs="Times New Roman"/>
          <w:color w:val="auto"/>
          <w:sz w:val="28"/>
          <w:szCs w:val="28"/>
          <w:highlight w:val="none"/>
          <w:u w:val="none"/>
          <w:lang w:eastAsia="zh-CN"/>
        </w:rPr>
      </w:pPr>
      <w:r>
        <w:rPr>
          <w:rFonts w:hint="default" w:ascii="Times New Roman" w:hAnsi="Times New Roman" w:eastAsia="仿宋" w:cs="Times New Roman"/>
          <w:i w:val="0"/>
          <w:iCs w:val="0"/>
          <w:caps w:val="0"/>
          <w:color w:val="auto"/>
          <w:spacing w:val="0"/>
          <w:sz w:val="28"/>
          <w:szCs w:val="28"/>
          <w:highlight w:val="none"/>
          <w:shd w:val="clear" w:fill="FFFFFF"/>
          <w:lang w:eastAsia="zh-CN"/>
        </w:rPr>
        <w:t>（二）</w:t>
      </w:r>
      <w:r>
        <w:rPr>
          <w:rFonts w:hint="default" w:ascii="Times New Roman" w:hAnsi="Times New Roman" w:eastAsia="仿宋" w:cs="Times New Roman"/>
          <w:i w:val="0"/>
          <w:caps w:val="0"/>
          <w:color w:val="auto"/>
          <w:spacing w:val="0"/>
          <w:sz w:val="28"/>
          <w:szCs w:val="28"/>
          <w:highlight w:val="none"/>
          <w:shd w:val="clear" w:fill="FFFFFF"/>
        </w:rPr>
        <w:t>强化共同监管</w:t>
      </w:r>
      <w:r>
        <w:rPr>
          <w:rFonts w:hint="default" w:ascii="Times New Roman" w:hAnsi="Times New Roman" w:eastAsia="仿宋" w:cs="Times New Roman"/>
          <w:i w:val="0"/>
          <w:caps w:val="0"/>
          <w:color w:val="auto"/>
          <w:spacing w:val="0"/>
          <w:sz w:val="28"/>
          <w:szCs w:val="28"/>
          <w:highlight w:val="none"/>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560" w:firstLineChars="200"/>
        <w:textAlignment w:val="auto"/>
        <w:rPr>
          <w:rFonts w:hint="default" w:ascii="Times New Roman" w:hAnsi="Times New Roman" w:eastAsia="仿宋" w:cs="Times New Roman"/>
          <w:i w:val="0"/>
          <w:caps w:val="0"/>
          <w:color w:val="auto"/>
          <w:spacing w:val="0"/>
          <w:kern w:val="0"/>
          <w:sz w:val="28"/>
          <w:szCs w:val="28"/>
          <w:highlight w:val="none"/>
          <w:shd w:val="clear" w:fill="FFFFFF"/>
          <w:lang w:val="en-US" w:eastAsia="zh-CN" w:bidi="ar"/>
        </w:rPr>
      </w:pP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开发平阳县工业用地全生命周期管理系统,强化全生命周期管理系统与各相关部门数据的交换共享和存储，通过全信息“一码共享”、全过程“一码管地”方式，做到“企业与空间对应落位，规上与规下统一管理”，实现对工业用地的利用情况保持动态、全生命周期监测。</w:t>
      </w:r>
      <w:r>
        <w:rPr>
          <w:rFonts w:hint="default" w:ascii="Times New Roman" w:hAnsi="Times New Roman" w:eastAsia="仿宋" w:cs="Times New Roman"/>
          <w:i w:val="0"/>
          <w:caps w:val="0"/>
          <w:color w:val="auto"/>
          <w:spacing w:val="0"/>
          <w:sz w:val="28"/>
          <w:szCs w:val="28"/>
          <w:highlight w:val="none"/>
          <w:shd w:val="clear" w:fill="FFFFFF"/>
        </w:rPr>
        <w:t>各部门和</w:t>
      </w:r>
      <w:r>
        <w:rPr>
          <w:rFonts w:hint="default" w:ascii="Times New Roman" w:hAnsi="Times New Roman" w:eastAsia="仿宋" w:cs="Times New Roman"/>
          <w:i w:val="0"/>
          <w:caps w:val="0"/>
          <w:color w:val="auto"/>
          <w:spacing w:val="0"/>
          <w:sz w:val="28"/>
          <w:szCs w:val="28"/>
          <w:highlight w:val="none"/>
          <w:shd w:val="clear" w:fill="FFFFFF"/>
          <w:lang w:eastAsia="zh-CN"/>
        </w:rPr>
        <w:t>乡镇</w:t>
      </w:r>
      <w:r>
        <w:rPr>
          <w:rFonts w:hint="default" w:ascii="Times New Roman" w:hAnsi="Times New Roman" w:eastAsia="仿宋" w:cs="Times New Roman"/>
          <w:i w:val="0"/>
          <w:caps w:val="0"/>
          <w:color w:val="auto"/>
          <w:spacing w:val="0"/>
          <w:sz w:val="28"/>
          <w:szCs w:val="28"/>
          <w:highlight w:val="none"/>
          <w:shd w:val="clear" w:fill="FFFFFF"/>
        </w:rPr>
        <w:t>要依托</w:t>
      </w:r>
      <w:r>
        <w:rPr>
          <w:rFonts w:hint="default" w:ascii="Times New Roman" w:hAnsi="Times New Roman" w:eastAsia="仿宋" w:cs="Times New Roman"/>
          <w:i w:val="0"/>
          <w:caps w:val="0"/>
          <w:color w:val="auto"/>
          <w:spacing w:val="0"/>
          <w:sz w:val="28"/>
          <w:szCs w:val="28"/>
          <w:highlight w:val="none"/>
          <w:shd w:val="clear" w:fill="FFFFFF"/>
          <w:lang w:eastAsia="zh-CN"/>
        </w:rPr>
        <w:t>工业项目</w:t>
      </w:r>
      <w:r>
        <w:rPr>
          <w:rFonts w:hint="default" w:ascii="Times New Roman" w:hAnsi="Times New Roman" w:eastAsia="仿宋" w:cs="Times New Roman"/>
          <w:i w:val="0"/>
          <w:caps w:val="0"/>
          <w:color w:val="auto"/>
          <w:spacing w:val="0"/>
          <w:sz w:val="28"/>
          <w:szCs w:val="28"/>
          <w:highlight w:val="none"/>
          <w:shd w:val="clear" w:fill="FFFFFF"/>
        </w:rPr>
        <w:t>全生命周期</w:t>
      </w:r>
      <w:r>
        <w:rPr>
          <w:rFonts w:hint="default" w:ascii="Times New Roman" w:hAnsi="Times New Roman" w:eastAsia="仿宋" w:cs="Times New Roman"/>
          <w:i w:val="0"/>
          <w:caps w:val="0"/>
          <w:color w:val="auto"/>
          <w:spacing w:val="0"/>
          <w:sz w:val="28"/>
          <w:szCs w:val="28"/>
          <w:highlight w:val="none"/>
          <w:shd w:val="clear" w:fill="FFFFFF"/>
          <w:lang w:eastAsia="zh-CN"/>
        </w:rPr>
        <w:t>管理平台</w:t>
      </w:r>
      <w:r>
        <w:rPr>
          <w:rFonts w:hint="default" w:ascii="Times New Roman" w:hAnsi="Times New Roman" w:eastAsia="仿宋" w:cs="Times New Roman"/>
          <w:i w:val="0"/>
          <w:caps w:val="0"/>
          <w:color w:val="auto"/>
          <w:spacing w:val="0"/>
          <w:sz w:val="28"/>
          <w:szCs w:val="28"/>
          <w:highlight w:val="none"/>
          <w:shd w:val="clear" w:fill="FFFFFF"/>
        </w:rPr>
        <w:t>，按照“谁提出、谁监管”的原则，加强</w:t>
      </w:r>
      <w:r>
        <w:rPr>
          <w:rFonts w:hint="default" w:ascii="Times New Roman" w:hAnsi="Times New Roman" w:eastAsia="仿宋" w:cs="Times New Roman"/>
          <w:i w:val="0"/>
          <w:caps w:val="0"/>
          <w:color w:val="auto"/>
          <w:spacing w:val="0"/>
          <w:sz w:val="28"/>
          <w:szCs w:val="28"/>
          <w:highlight w:val="none"/>
          <w:shd w:val="clear" w:fill="FFFFFF"/>
          <w:lang w:eastAsia="zh-CN"/>
        </w:rPr>
        <w:t>工业</w:t>
      </w:r>
      <w:r>
        <w:rPr>
          <w:rFonts w:hint="default" w:ascii="Times New Roman" w:hAnsi="Times New Roman" w:eastAsia="仿宋" w:cs="Times New Roman"/>
          <w:i w:val="0"/>
          <w:caps w:val="0"/>
          <w:color w:val="auto"/>
          <w:spacing w:val="0"/>
          <w:sz w:val="28"/>
          <w:szCs w:val="28"/>
          <w:highlight w:val="none"/>
          <w:shd w:val="clear" w:fill="FFFFFF"/>
        </w:rPr>
        <w:t>用地绩效评估和土地退出监管</w:t>
      </w:r>
      <w:r>
        <w:rPr>
          <w:rFonts w:hint="default" w:ascii="Times New Roman" w:hAnsi="Times New Roman" w:eastAsia="仿宋" w:cs="Times New Roman"/>
          <w:i w:val="0"/>
          <w:caps w:val="0"/>
          <w:color w:val="auto"/>
          <w:spacing w:val="0"/>
          <w:sz w:val="28"/>
          <w:szCs w:val="28"/>
          <w:highlight w:val="none"/>
          <w:shd w:val="clear" w:fill="FFFFFF"/>
          <w:lang w:eastAsia="zh-CN"/>
        </w:rPr>
        <w:t>。</w:t>
      </w:r>
      <w:r>
        <w:rPr>
          <w:rFonts w:hint="default" w:ascii="Times New Roman" w:hAnsi="Times New Roman" w:eastAsia="仿宋" w:cs="Times New Roman"/>
          <w:i w:val="0"/>
          <w:caps w:val="0"/>
          <w:color w:val="auto"/>
          <w:spacing w:val="0"/>
          <w:sz w:val="28"/>
          <w:szCs w:val="28"/>
          <w:highlight w:val="none"/>
          <w:shd w:val="clear" w:fill="FFFFFF"/>
        </w:rPr>
        <w:t>对实施土地全生命周期管理之前出让的</w:t>
      </w:r>
      <w:r>
        <w:rPr>
          <w:rFonts w:hint="default" w:ascii="Times New Roman" w:hAnsi="Times New Roman" w:eastAsia="仿宋" w:cs="Times New Roman"/>
          <w:i w:val="0"/>
          <w:caps w:val="0"/>
          <w:color w:val="auto"/>
          <w:spacing w:val="0"/>
          <w:sz w:val="28"/>
          <w:szCs w:val="28"/>
          <w:highlight w:val="none"/>
          <w:shd w:val="clear" w:fill="FFFFFF"/>
          <w:lang w:eastAsia="zh-CN"/>
        </w:rPr>
        <w:t>工业</w:t>
      </w:r>
      <w:r>
        <w:rPr>
          <w:rFonts w:hint="default" w:ascii="Times New Roman" w:hAnsi="Times New Roman" w:eastAsia="仿宋" w:cs="Times New Roman"/>
          <w:i w:val="0"/>
          <w:caps w:val="0"/>
          <w:color w:val="auto"/>
          <w:spacing w:val="0"/>
          <w:sz w:val="28"/>
          <w:szCs w:val="28"/>
          <w:highlight w:val="none"/>
          <w:shd w:val="clear" w:fill="FFFFFF"/>
        </w:rPr>
        <w:t>用地，应依托</w:t>
      </w:r>
      <w:r>
        <w:rPr>
          <w:rFonts w:hint="default" w:ascii="Times New Roman" w:hAnsi="Times New Roman" w:eastAsia="仿宋" w:cs="Times New Roman"/>
          <w:i w:val="0"/>
          <w:caps w:val="0"/>
          <w:color w:val="auto"/>
          <w:spacing w:val="0"/>
          <w:sz w:val="28"/>
          <w:szCs w:val="28"/>
          <w:highlight w:val="none"/>
          <w:shd w:val="clear" w:fill="FFFFFF"/>
          <w:lang w:eastAsia="zh-CN"/>
        </w:rPr>
        <w:t>亩均效益评价</w:t>
      </w:r>
      <w:r>
        <w:rPr>
          <w:rFonts w:hint="default" w:ascii="Times New Roman" w:hAnsi="Times New Roman" w:eastAsia="仿宋" w:cs="Times New Roman"/>
          <w:i w:val="0"/>
          <w:caps w:val="0"/>
          <w:color w:val="auto"/>
          <w:spacing w:val="0"/>
          <w:sz w:val="28"/>
          <w:szCs w:val="28"/>
          <w:highlight w:val="none"/>
          <w:shd w:val="clear" w:fill="FFFFFF"/>
        </w:rPr>
        <w:t>，通过签订补充出让合同</w:t>
      </w:r>
      <w:r>
        <w:rPr>
          <w:rFonts w:hint="default" w:ascii="Times New Roman" w:hAnsi="Times New Roman" w:eastAsia="仿宋" w:cs="Times New Roman"/>
          <w:i w:val="0"/>
          <w:caps w:val="0"/>
          <w:color w:val="auto"/>
          <w:spacing w:val="0"/>
          <w:sz w:val="28"/>
          <w:szCs w:val="28"/>
          <w:highlight w:val="none"/>
          <w:shd w:val="clear" w:fill="FFFFFF"/>
          <w:lang w:eastAsia="zh-CN"/>
        </w:rPr>
        <w:t>和投资合同</w:t>
      </w:r>
      <w:r>
        <w:rPr>
          <w:rFonts w:hint="default" w:ascii="Times New Roman" w:hAnsi="Times New Roman" w:eastAsia="仿宋" w:cs="Times New Roman"/>
          <w:i w:val="0"/>
          <w:caps w:val="0"/>
          <w:color w:val="auto"/>
          <w:spacing w:val="0"/>
          <w:sz w:val="28"/>
          <w:szCs w:val="28"/>
          <w:highlight w:val="none"/>
          <w:shd w:val="clear" w:fill="FFFFFF"/>
        </w:rPr>
        <w:t>，进一步明确产业绩效要求，纳入土地全生命周期管理。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560" w:firstLineChars="200"/>
        <w:textAlignment w:val="auto"/>
        <w:rPr>
          <w:rFonts w:hint="default" w:ascii="Times New Roman" w:hAnsi="Times New Roman" w:eastAsia="仿宋" w:cs="Times New Roman"/>
          <w:i w:val="0"/>
          <w:caps w:val="0"/>
          <w:color w:val="auto"/>
          <w:spacing w:val="0"/>
          <w:kern w:val="0"/>
          <w:sz w:val="28"/>
          <w:szCs w:val="28"/>
          <w:highlight w:val="none"/>
          <w:shd w:val="clear" w:fill="FFFFFF"/>
          <w:lang w:val="en-US" w:eastAsia="zh-CN" w:bidi="ar"/>
        </w:rPr>
      </w:pPr>
      <w:r>
        <w:rPr>
          <w:rFonts w:hint="default" w:ascii="Times New Roman" w:hAnsi="Times New Roman" w:eastAsia="仿宋" w:cs="Times New Roman"/>
          <w:i w:val="0"/>
          <w:caps w:val="0"/>
          <w:color w:val="auto"/>
          <w:spacing w:val="0"/>
          <w:kern w:val="0"/>
          <w:sz w:val="28"/>
          <w:szCs w:val="28"/>
          <w:highlight w:val="none"/>
          <w:shd w:val="clear" w:fill="FFFFFF"/>
          <w:lang w:val="en-US" w:eastAsia="zh-CN" w:bidi="ar"/>
        </w:rPr>
        <w:t>十、附则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default" w:ascii="Times New Roman" w:hAnsi="Times New Roman" w:eastAsia="仿宋" w:cs="Times New Roman"/>
          <w:i w:val="0"/>
          <w:caps w:val="0"/>
          <w:color w:val="auto"/>
          <w:spacing w:val="0"/>
          <w:kern w:val="0"/>
          <w:sz w:val="28"/>
          <w:szCs w:val="28"/>
          <w:highlight w:val="none"/>
          <w:shd w:val="clear" w:fill="FFFFFF"/>
          <w:lang w:val="en-US" w:eastAsia="zh-CN" w:bidi="ar"/>
        </w:rPr>
      </w:pPr>
      <w:r>
        <w:rPr>
          <w:rFonts w:hint="default" w:ascii="Times New Roman" w:hAnsi="Times New Roman" w:eastAsia="仿宋" w:cs="Times New Roman"/>
          <w:i w:val="0"/>
          <w:caps w:val="0"/>
          <w:color w:val="auto"/>
          <w:spacing w:val="0"/>
          <w:kern w:val="0"/>
          <w:sz w:val="28"/>
          <w:szCs w:val="28"/>
          <w:highlight w:val="none"/>
          <w:shd w:val="clear" w:fill="FFFFFF"/>
          <w:lang w:val="en-US" w:eastAsia="zh-CN" w:bidi="ar"/>
        </w:rPr>
        <w:t>（一）能耗、环保等要求。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default" w:ascii="Times New Roman" w:hAnsi="Times New Roman" w:eastAsia="仿宋" w:cs="Times New Roman"/>
          <w:i w:val="0"/>
          <w:caps w:val="0"/>
          <w:color w:val="auto"/>
          <w:spacing w:val="0"/>
          <w:kern w:val="0"/>
          <w:sz w:val="28"/>
          <w:szCs w:val="28"/>
          <w:highlight w:val="none"/>
          <w:shd w:val="clear" w:fill="FFFFFF"/>
          <w:lang w:val="en-US" w:eastAsia="zh-CN" w:bidi="ar"/>
        </w:rPr>
      </w:pPr>
      <w:r>
        <w:rPr>
          <w:rFonts w:hint="default" w:ascii="Times New Roman" w:hAnsi="Times New Roman" w:eastAsia="仿宋" w:cs="Times New Roman"/>
          <w:i w:val="0"/>
          <w:caps w:val="0"/>
          <w:color w:val="auto"/>
          <w:spacing w:val="0"/>
          <w:kern w:val="0"/>
          <w:sz w:val="28"/>
          <w:szCs w:val="28"/>
          <w:highlight w:val="none"/>
          <w:shd w:val="clear" w:fill="FFFFFF"/>
          <w:lang w:val="en-US" w:eastAsia="zh-CN" w:bidi="ar"/>
        </w:rPr>
        <w:t>工业用地能耗、土壤和地下水地质环境保护等可参照每3年一次的亩均税收考核验收工作纳入全生命周期管理。</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i w:val="0"/>
          <w:caps w:val="0"/>
          <w:color w:val="auto"/>
          <w:spacing w:val="0"/>
          <w:kern w:val="0"/>
          <w:sz w:val="28"/>
          <w:szCs w:val="28"/>
          <w:highlight w:val="none"/>
          <w:shd w:val="clear" w:fill="FFFFFF"/>
          <w:lang w:val="en-US" w:eastAsia="zh-CN" w:bidi="ar"/>
        </w:rPr>
      </w:pPr>
      <w:r>
        <w:rPr>
          <w:rFonts w:hint="default" w:ascii="Times New Roman" w:hAnsi="Times New Roman" w:eastAsia="仿宋" w:cs="Times New Roman"/>
          <w:i w:val="0"/>
          <w:caps w:val="0"/>
          <w:color w:val="auto"/>
          <w:spacing w:val="0"/>
          <w:kern w:val="0"/>
          <w:sz w:val="28"/>
          <w:szCs w:val="28"/>
          <w:highlight w:val="none"/>
          <w:shd w:val="clear" w:fill="FFFFFF"/>
          <w:lang w:val="en-US" w:eastAsia="zh-CN" w:bidi="ar"/>
        </w:rPr>
        <w:t>实施时间。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560" w:firstLineChars="200"/>
        <w:textAlignment w:val="auto"/>
        <w:rPr>
          <w:rFonts w:hint="default" w:ascii="Times New Roman" w:hAnsi="Times New Roman" w:eastAsia="仿宋" w:cs="Times New Roman"/>
          <w:i w:val="0"/>
          <w:caps w:val="0"/>
          <w:color w:val="auto"/>
          <w:spacing w:val="0"/>
          <w:sz w:val="28"/>
          <w:szCs w:val="28"/>
          <w:highlight w:val="none"/>
          <w:shd w:val="clear" w:fill="FFFFFF"/>
          <w:lang w:val="en-US" w:eastAsia="zh-CN"/>
        </w:rPr>
      </w:pPr>
      <w:r>
        <w:rPr>
          <w:rFonts w:hint="default" w:ascii="Times New Roman" w:hAnsi="Times New Roman" w:eastAsia="仿宋" w:cs="Times New Roman"/>
          <w:i w:val="0"/>
          <w:caps w:val="0"/>
          <w:color w:val="auto"/>
          <w:spacing w:val="0"/>
          <w:sz w:val="28"/>
          <w:szCs w:val="28"/>
          <w:highlight w:val="none"/>
          <w:shd w:val="clear" w:fill="FFFFFF"/>
          <w:lang w:val="en-US" w:eastAsia="zh-CN"/>
        </w:rPr>
        <w:t xml:space="preserve"> 本</w:t>
      </w: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办法</w:t>
      </w:r>
      <w:r>
        <w:rPr>
          <w:rFonts w:hint="default" w:ascii="Times New Roman" w:hAnsi="Times New Roman" w:eastAsia="仿宋" w:cs="Times New Roman"/>
          <w:i w:val="0"/>
          <w:caps w:val="0"/>
          <w:color w:val="auto"/>
          <w:spacing w:val="0"/>
          <w:sz w:val="28"/>
          <w:szCs w:val="28"/>
          <w:highlight w:val="none"/>
          <w:shd w:val="clear" w:fill="FFFFFF"/>
          <w:lang w:val="en-US" w:eastAsia="zh-CN"/>
        </w:rPr>
        <w:t>自2021年AA月AA日（印发之日起30天后）起施行，本办法在实行期间如遇上级作出新的不同规定，则按上级规定执行。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default" w:ascii="Times New Roman" w:hAnsi="Times New Roman" w:eastAsia="仿宋" w:cs="Times New Roman"/>
          <w:i w:val="0"/>
          <w:caps w:val="0"/>
          <w:color w:val="auto"/>
          <w:spacing w:val="0"/>
          <w:sz w:val="28"/>
          <w:szCs w:val="28"/>
          <w:highlight w:val="none"/>
          <w:shd w:val="clear" w:fill="FFFFFF"/>
          <w:lang w:val="en-US" w:eastAsia="zh-CN"/>
        </w:rPr>
      </w:pPr>
      <w:r>
        <w:rPr>
          <w:rFonts w:hint="default" w:ascii="Times New Roman" w:hAnsi="Times New Roman" w:eastAsia="仿宋" w:cs="Times New Roman"/>
          <w:i w:val="0"/>
          <w:caps w:val="0"/>
          <w:color w:val="auto"/>
          <w:spacing w:val="0"/>
          <w:kern w:val="0"/>
          <w:sz w:val="28"/>
          <w:szCs w:val="28"/>
          <w:highlight w:val="none"/>
          <w:u w:val="none"/>
          <w:shd w:val="clear" w:fill="FFFFFF"/>
          <w:lang w:val="en-US" w:eastAsia="zh-CN" w:bidi="ar"/>
        </w:rPr>
        <w:t>（三）本办法的工业用地项目不包括小微园、工业地产项目。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260119"/>
    <w:multiLevelType w:val="singleLevel"/>
    <w:tmpl w:val="5026011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13D7"/>
    <w:rsid w:val="001F7E98"/>
    <w:rsid w:val="002376DC"/>
    <w:rsid w:val="00346B73"/>
    <w:rsid w:val="003531AC"/>
    <w:rsid w:val="0039557B"/>
    <w:rsid w:val="004742F4"/>
    <w:rsid w:val="00595AB9"/>
    <w:rsid w:val="005A53C1"/>
    <w:rsid w:val="006F7075"/>
    <w:rsid w:val="007377E7"/>
    <w:rsid w:val="00783E9C"/>
    <w:rsid w:val="009A0266"/>
    <w:rsid w:val="009C552C"/>
    <w:rsid w:val="00BA2DD0"/>
    <w:rsid w:val="00C66E86"/>
    <w:rsid w:val="00D348AD"/>
    <w:rsid w:val="00DA1582"/>
    <w:rsid w:val="00F324FE"/>
    <w:rsid w:val="011D1C6C"/>
    <w:rsid w:val="01435534"/>
    <w:rsid w:val="014F75D6"/>
    <w:rsid w:val="01561A1B"/>
    <w:rsid w:val="015C1648"/>
    <w:rsid w:val="015F769A"/>
    <w:rsid w:val="016A7B90"/>
    <w:rsid w:val="01815418"/>
    <w:rsid w:val="01C033F8"/>
    <w:rsid w:val="01CF0F95"/>
    <w:rsid w:val="01D00D56"/>
    <w:rsid w:val="01D83220"/>
    <w:rsid w:val="020F40BA"/>
    <w:rsid w:val="02166D72"/>
    <w:rsid w:val="02190A72"/>
    <w:rsid w:val="021C0BFA"/>
    <w:rsid w:val="021C1621"/>
    <w:rsid w:val="0225770B"/>
    <w:rsid w:val="02267FD7"/>
    <w:rsid w:val="02272693"/>
    <w:rsid w:val="022A709C"/>
    <w:rsid w:val="022B1EE9"/>
    <w:rsid w:val="02542A5C"/>
    <w:rsid w:val="02653CCF"/>
    <w:rsid w:val="026A1CB7"/>
    <w:rsid w:val="026F54FE"/>
    <w:rsid w:val="02AD06E2"/>
    <w:rsid w:val="02B33EAC"/>
    <w:rsid w:val="02C115FD"/>
    <w:rsid w:val="02C6680C"/>
    <w:rsid w:val="02DB0164"/>
    <w:rsid w:val="0312572A"/>
    <w:rsid w:val="03213A50"/>
    <w:rsid w:val="032B7D5C"/>
    <w:rsid w:val="032C61C8"/>
    <w:rsid w:val="033A2AA4"/>
    <w:rsid w:val="034A04D4"/>
    <w:rsid w:val="036C4C29"/>
    <w:rsid w:val="03890D28"/>
    <w:rsid w:val="038D56DA"/>
    <w:rsid w:val="038E5184"/>
    <w:rsid w:val="03B50E24"/>
    <w:rsid w:val="03B912BD"/>
    <w:rsid w:val="03CA015A"/>
    <w:rsid w:val="03E673AE"/>
    <w:rsid w:val="040F4124"/>
    <w:rsid w:val="0419536B"/>
    <w:rsid w:val="042418FD"/>
    <w:rsid w:val="04320CEE"/>
    <w:rsid w:val="04464A19"/>
    <w:rsid w:val="04492C54"/>
    <w:rsid w:val="04576AAB"/>
    <w:rsid w:val="045C67CA"/>
    <w:rsid w:val="04621F72"/>
    <w:rsid w:val="046A60CD"/>
    <w:rsid w:val="047B2882"/>
    <w:rsid w:val="048A5582"/>
    <w:rsid w:val="04A91158"/>
    <w:rsid w:val="04BF6AD3"/>
    <w:rsid w:val="04D11E7D"/>
    <w:rsid w:val="04E4611B"/>
    <w:rsid w:val="04FC2105"/>
    <w:rsid w:val="04FE3D6B"/>
    <w:rsid w:val="050A6DFF"/>
    <w:rsid w:val="050B76CE"/>
    <w:rsid w:val="052461DC"/>
    <w:rsid w:val="05305EEC"/>
    <w:rsid w:val="05312BD9"/>
    <w:rsid w:val="05396C35"/>
    <w:rsid w:val="056F124A"/>
    <w:rsid w:val="0588277D"/>
    <w:rsid w:val="0592528D"/>
    <w:rsid w:val="05A00960"/>
    <w:rsid w:val="05B57081"/>
    <w:rsid w:val="05BF6CDE"/>
    <w:rsid w:val="05CC7F70"/>
    <w:rsid w:val="05D434FB"/>
    <w:rsid w:val="05DF1236"/>
    <w:rsid w:val="05E521BD"/>
    <w:rsid w:val="06032FA4"/>
    <w:rsid w:val="062F7E20"/>
    <w:rsid w:val="06483319"/>
    <w:rsid w:val="064D03D1"/>
    <w:rsid w:val="06545855"/>
    <w:rsid w:val="0654733F"/>
    <w:rsid w:val="065C219B"/>
    <w:rsid w:val="06603036"/>
    <w:rsid w:val="06603FE9"/>
    <w:rsid w:val="066C58A4"/>
    <w:rsid w:val="06881B36"/>
    <w:rsid w:val="06930205"/>
    <w:rsid w:val="06963251"/>
    <w:rsid w:val="069A30D3"/>
    <w:rsid w:val="06AE0586"/>
    <w:rsid w:val="06C158EB"/>
    <w:rsid w:val="06C707BC"/>
    <w:rsid w:val="06CD331C"/>
    <w:rsid w:val="06F00F3C"/>
    <w:rsid w:val="07210FFB"/>
    <w:rsid w:val="072456EF"/>
    <w:rsid w:val="073106AF"/>
    <w:rsid w:val="07416B3B"/>
    <w:rsid w:val="074F7FB3"/>
    <w:rsid w:val="07714B3B"/>
    <w:rsid w:val="077C6883"/>
    <w:rsid w:val="078800B4"/>
    <w:rsid w:val="07956B49"/>
    <w:rsid w:val="07960724"/>
    <w:rsid w:val="07C827A7"/>
    <w:rsid w:val="07D21B23"/>
    <w:rsid w:val="07E23EE6"/>
    <w:rsid w:val="07FE765F"/>
    <w:rsid w:val="080C4F66"/>
    <w:rsid w:val="08412609"/>
    <w:rsid w:val="08546F5B"/>
    <w:rsid w:val="086A3084"/>
    <w:rsid w:val="086A412D"/>
    <w:rsid w:val="087C102F"/>
    <w:rsid w:val="088C4378"/>
    <w:rsid w:val="0897264A"/>
    <w:rsid w:val="08AD62EE"/>
    <w:rsid w:val="08B2406D"/>
    <w:rsid w:val="08B504B4"/>
    <w:rsid w:val="08B80557"/>
    <w:rsid w:val="08D256C9"/>
    <w:rsid w:val="08DD0DC1"/>
    <w:rsid w:val="08FA49CE"/>
    <w:rsid w:val="08FB4C72"/>
    <w:rsid w:val="091E662E"/>
    <w:rsid w:val="092B3C03"/>
    <w:rsid w:val="094152F5"/>
    <w:rsid w:val="09471AA0"/>
    <w:rsid w:val="095347FE"/>
    <w:rsid w:val="095614F5"/>
    <w:rsid w:val="095A7003"/>
    <w:rsid w:val="09724261"/>
    <w:rsid w:val="097651DC"/>
    <w:rsid w:val="09AA729A"/>
    <w:rsid w:val="09AE0A4B"/>
    <w:rsid w:val="09B63FE8"/>
    <w:rsid w:val="09BF60C8"/>
    <w:rsid w:val="09F2464D"/>
    <w:rsid w:val="0A105BC4"/>
    <w:rsid w:val="0A2463A4"/>
    <w:rsid w:val="0A2531E3"/>
    <w:rsid w:val="0A37069B"/>
    <w:rsid w:val="0A436486"/>
    <w:rsid w:val="0A4A4531"/>
    <w:rsid w:val="0A6E6722"/>
    <w:rsid w:val="0A790307"/>
    <w:rsid w:val="0A857C7F"/>
    <w:rsid w:val="0A895006"/>
    <w:rsid w:val="0A983FAC"/>
    <w:rsid w:val="0ACA7829"/>
    <w:rsid w:val="0AE242D8"/>
    <w:rsid w:val="0AF96F44"/>
    <w:rsid w:val="0AFB2EEC"/>
    <w:rsid w:val="0B2664EC"/>
    <w:rsid w:val="0B74430A"/>
    <w:rsid w:val="0B8C441D"/>
    <w:rsid w:val="0BD264D8"/>
    <w:rsid w:val="0BDB1D55"/>
    <w:rsid w:val="0BF25219"/>
    <w:rsid w:val="0C137A9D"/>
    <w:rsid w:val="0C1E4524"/>
    <w:rsid w:val="0C3D06DB"/>
    <w:rsid w:val="0C4956DB"/>
    <w:rsid w:val="0C4A4FE5"/>
    <w:rsid w:val="0C4D4A80"/>
    <w:rsid w:val="0C593B05"/>
    <w:rsid w:val="0CAA3968"/>
    <w:rsid w:val="0CB268F1"/>
    <w:rsid w:val="0CF62998"/>
    <w:rsid w:val="0CF85570"/>
    <w:rsid w:val="0D093C47"/>
    <w:rsid w:val="0D365B34"/>
    <w:rsid w:val="0D3B07A5"/>
    <w:rsid w:val="0D45264A"/>
    <w:rsid w:val="0D4E5FC0"/>
    <w:rsid w:val="0D527444"/>
    <w:rsid w:val="0D535716"/>
    <w:rsid w:val="0D5B10FE"/>
    <w:rsid w:val="0D6E393A"/>
    <w:rsid w:val="0D7A695A"/>
    <w:rsid w:val="0D8409B2"/>
    <w:rsid w:val="0D8E0D47"/>
    <w:rsid w:val="0DAA3E7D"/>
    <w:rsid w:val="0DD33D46"/>
    <w:rsid w:val="0DD357BC"/>
    <w:rsid w:val="0DF1219A"/>
    <w:rsid w:val="0DF402AC"/>
    <w:rsid w:val="0DFF2EA3"/>
    <w:rsid w:val="0E0B3CA0"/>
    <w:rsid w:val="0E382670"/>
    <w:rsid w:val="0E697E35"/>
    <w:rsid w:val="0E735420"/>
    <w:rsid w:val="0E804AA5"/>
    <w:rsid w:val="0E82471F"/>
    <w:rsid w:val="0E88680D"/>
    <w:rsid w:val="0E8C6786"/>
    <w:rsid w:val="0EB5211A"/>
    <w:rsid w:val="0ECE229C"/>
    <w:rsid w:val="0ECF1709"/>
    <w:rsid w:val="0F0A5058"/>
    <w:rsid w:val="0F147404"/>
    <w:rsid w:val="0F350146"/>
    <w:rsid w:val="0F4F7D6A"/>
    <w:rsid w:val="0F681C33"/>
    <w:rsid w:val="0F6E1700"/>
    <w:rsid w:val="0F940124"/>
    <w:rsid w:val="0F9A6DEE"/>
    <w:rsid w:val="0F9B6A0E"/>
    <w:rsid w:val="0FD04645"/>
    <w:rsid w:val="0FD31139"/>
    <w:rsid w:val="0FDE15C4"/>
    <w:rsid w:val="0FE20569"/>
    <w:rsid w:val="101201A2"/>
    <w:rsid w:val="102058F0"/>
    <w:rsid w:val="10330222"/>
    <w:rsid w:val="10505E3F"/>
    <w:rsid w:val="10803B84"/>
    <w:rsid w:val="108F7D67"/>
    <w:rsid w:val="109D5321"/>
    <w:rsid w:val="10BF07BD"/>
    <w:rsid w:val="10BF42E6"/>
    <w:rsid w:val="10CC230C"/>
    <w:rsid w:val="10CE69BF"/>
    <w:rsid w:val="10EC08F1"/>
    <w:rsid w:val="10F74BC0"/>
    <w:rsid w:val="10FE3B17"/>
    <w:rsid w:val="110469FE"/>
    <w:rsid w:val="11071C7C"/>
    <w:rsid w:val="1119488A"/>
    <w:rsid w:val="111C508A"/>
    <w:rsid w:val="11223315"/>
    <w:rsid w:val="11251895"/>
    <w:rsid w:val="1129694C"/>
    <w:rsid w:val="112D7D1F"/>
    <w:rsid w:val="11305C18"/>
    <w:rsid w:val="11335794"/>
    <w:rsid w:val="11380EC9"/>
    <w:rsid w:val="114A6A44"/>
    <w:rsid w:val="1191442E"/>
    <w:rsid w:val="11932D8A"/>
    <w:rsid w:val="11D10C46"/>
    <w:rsid w:val="11D84352"/>
    <w:rsid w:val="11F74362"/>
    <w:rsid w:val="120B7903"/>
    <w:rsid w:val="121B094E"/>
    <w:rsid w:val="12275E9B"/>
    <w:rsid w:val="122D0DA8"/>
    <w:rsid w:val="129B0649"/>
    <w:rsid w:val="12A64554"/>
    <w:rsid w:val="12CB3FD7"/>
    <w:rsid w:val="12CC4470"/>
    <w:rsid w:val="12D271FE"/>
    <w:rsid w:val="12DA7F5D"/>
    <w:rsid w:val="12FE7C41"/>
    <w:rsid w:val="130E5982"/>
    <w:rsid w:val="131275EB"/>
    <w:rsid w:val="131B6FFB"/>
    <w:rsid w:val="134B349F"/>
    <w:rsid w:val="13620803"/>
    <w:rsid w:val="136F52BB"/>
    <w:rsid w:val="137E5E9F"/>
    <w:rsid w:val="13874CB0"/>
    <w:rsid w:val="138E36E1"/>
    <w:rsid w:val="139764F6"/>
    <w:rsid w:val="13AE360D"/>
    <w:rsid w:val="13B826C3"/>
    <w:rsid w:val="13C2213C"/>
    <w:rsid w:val="13F85EF6"/>
    <w:rsid w:val="1407797F"/>
    <w:rsid w:val="141E5306"/>
    <w:rsid w:val="14317B7A"/>
    <w:rsid w:val="14464019"/>
    <w:rsid w:val="144F6A4C"/>
    <w:rsid w:val="145F61F7"/>
    <w:rsid w:val="14840CA2"/>
    <w:rsid w:val="14A94ED6"/>
    <w:rsid w:val="14B9350D"/>
    <w:rsid w:val="14BF4551"/>
    <w:rsid w:val="14BF53C9"/>
    <w:rsid w:val="14C11449"/>
    <w:rsid w:val="152C42FC"/>
    <w:rsid w:val="15516556"/>
    <w:rsid w:val="155626EE"/>
    <w:rsid w:val="155C09DF"/>
    <w:rsid w:val="157E16CC"/>
    <w:rsid w:val="15855197"/>
    <w:rsid w:val="15CB710D"/>
    <w:rsid w:val="15E91E7D"/>
    <w:rsid w:val="15F7345B"/>
    <w:rsid w:val="16266A81"/>
    <w:rsid w:val="1627071E"/>
    <w:rsid w:val="16312639"/>
    <w:rsid w:val="164F06E8"/>
    <w:rsid w:val="16542A49"/>
    <w:rsid w:val="166167A3"/>
    <w:rsid w:val="1668243E"/>
    <w:rsid w:val="166E5EEF"/>
    <w:rsid w:val="1670069C"/>
    <w:rsid w:val="1697625B"/>
    <w:rsid w:val="169E6432"/>
    <w:rsid w:val="16A050A3"/>
    <w:rsid w:val="16AA0D49"/>
    <w:rsid w:val="16BD0E77"/>
    <w:rsid w:val="16CC1DE4"/>
    <w:rsid w:val="16D7087E"/>
    <w:rsid w:val="16D95E2D"/>
    <w:rsid w:val="16DD4A07"/>
    <w:rsid w:val="16E43B5F"/>
    <w:rsid w:val="16E81E32"/>
    <w:rsid w:val="16F25635"/>
    <w:rsid w:val="17121ACE"/>
    <w:rsid w:val="17262905"/>
    <w:rsid w:val="173A0156"/>
    <w:rsid w:val="17415ECD"/>
    <w:rsid w:val="17541B68"/>
    <w:rsid w:val="1757146C"/>
    <w:rsid w:val="176527B3"/>
    <w:rsid w:val="177630EC"/>
    <w:rsid w:val="178030B1"/>
    <w:rsid w:val="17862643"/>
    <w:rsid w:val="178B5DF7"/>
    <w:rsid w:val="17900C4E"/>
    <w:rsid w:val="17996E40"/>
    <w:rsid w:val="17A472F7"/>
    <w:rsid w:val="17B00C17"/>
    <w:rsid w:val="17BB4014"/>
    <w:rsid w:val="17BB7DF1"/>
    <w:rsid w:val="17CE0640"/>
    <w:rsid w:val="17DC39C8"/>
    <w:rsid w:val="18343274"/>
    <w:rsid w:val="185B26FC"/>
    <w:rsid w:val="185E2DB8"/>
    <w:rsid w:val="1871194D"/>
    <w:rsid w:val="18997DFE"/>
    <w:rsid w:val="18A52C2C"/>
    <w:rsid w:val="18AA14C1"/>
    <w:rsid w:val="18B80525"/>
    <w:rsid w:val="18BB289D"/>
    <w:rsid w:val="18E5598C"/>
    <w:rsid w:val="190B7415"/>
    <w:rsid w:val="1912057B"/>
    <w:rsid w:val="191843B9"/>
    <w:rsid w:val="192A3B55"/>
    <w:rsid w:val="194B1410"/>
    <w:rsid w:val="194C3A6F"/>
    <w:rsid w:val="195600E7"/>
    <w:rsid w:val="196F539A"/>
    <w:rsid w:val="197E3205"/>
    <w:rsid w:val="198A18FD"/>
    <w:rsid w:val="198A326D"/>
    <w:rsid w:val="199B13E6"/>
    <w:rsid w:val="199F582F"/>
    <w:rsid w:val="19A31CA8"/>
    <w:rsid w:val="19C069DE"/>
    <w:rsid w:val="19C122FC"/>
    <w:rsid w:val="19C37DE6"/>
    <w:rsid w:val="19CD3878"/>
    <w:rsid w:val="19EB1C6E"/>
    <w:rsid w:val="19F97237"/>
    <w:rsid w:val="1A0A5545"/>
    <w:rsid w:val="1A230541"/>
    <w:rsid w:val="1A6F534C"/>
    <w:rsid w:val="1AA003DB"/>
    <w:rsid w:val="1AA03B68"/>
    <w:rsid w:val="1AAD5F9C"/>
    <w:rsid w:val="1AD22AEB"/>
    <w:rsid w:val="1AD50826"/>
    <w:rsid w:val="1ADF543C"/>
    <w:rsid w:val="1AE10893"/>
    <w:rsid w:val="1AFB54F7"/>
    <w:rsid w:val="1AFC7973"/>
    <w:rsid w:val="1B0744D6"/>
    <w:rsid w:val="1B082E82"/>
    <w:rsid w:val="1B120764"/>
    <w:rsid w:val="1B387D6A"/>
    <w:rsid w:val="1B427DB3"/>
    <w:rsid w:val="1B48381F"/>
    <w:rsid w:val="1B4E1C0E"/>
    <w:rsid w:val="1B9014C2"/>
    <w:rsid w:val="1B942EDE"/>
    <w:rsid w:val="1BA278C3"/>
    <w:rsid w:val="1BAA6220"/>
    <w:rsid w:val="1BB429C2"/>
    <w:rsid w:val="1BB75967"/>
    <w:rsid w:val="1BFF10F5"/>
    <w:rsid w:val="1C3E0779"/>
    <w:rsid w:val="1C6468B5"/>
    <w:rsid w:val="1C6E2884"/>
    <w:rsid w:val="1C704A5C"/>
    <w:rsid w:val="1C7142C9"/>
    <w:rsid w:val="1C814E4A"/>
    <w:rsid w:val="1CC42B6C"/>
    <w:rsid w:val="1CDF1FA7"/>
    <w:rsid w:val="1D091EDA"/>
    <w:rsid w:val="1D414C64"/>
    <w:rsid w:val="1D5216A6"/>
    <w:rsid w:val="1D79408C"/>
    <w:rsid w:val="1D9308DB"/>
    <w:rsid w:val="1D9E6257"/>
    <w:rsid w:val="1DB57151"/>
    <w:rsid w:val="1DC64EE2"/>
    <w:rsid w:val="1DE06FFB"/>
    <w:rsid w:val="1DF13AD4"/>
    <w:rsid w:val="1E0D1D12"/>
    <w:rsid w:val="1E4819FB"/>
    <w:rsid w:val="1E5421F8"/>
    <w:rsid w:val="1E596191"/>
    <w:rsid w:val="1E5A2BF3"/>
    <w:rsid w:val="1E616860"/>
    <w:rsid w:val="1E683F18"/>
    <w:rsid w:val="1E6A7AED"/>
    <w:rsid w:val="1E6D7902"/>
    <w:rsid w:val="1E755480"/>
    <w:rsid w:val="1E8167E2"/>
    <w:rsid w:val="1E8F6DAF"/>
    <w:rsid w:val="1E940EFA"/>
    <w:rsid w:val="1EA628EF"/>
    <w:rsid w:val="1ECD2647"/>
    <w:rsid w:val="1EE42422"/>
    <w:rsid w:val="1EEE46AE"/>
    <w:rsid w:val="1F0A4B67"/>
    <w:rsid w:val="1F1F3BD5"/>
    <w:rsid w:val="1F267FDC"/>
    <w:rsid w:val="1F383BA4"/>
    <w:rsid w:val="1F524998"/>
    <w:rsid w:val="1F89310E"/>
    <w:rsid w:val="1FA850C0"/>
    <w:rsid w:val="1FAF477A"/>
    <w:rsid w:val="20263AA3"/>
    <w:rsid w:val="205C197D"/>
    <w:rsid w:val="20622727"/>
    <w:rsid w:val="206229C4"/>
    <w:rsid w:val="208E7654"/>
    <w:rsid w:val="20CB69F6"/>
    <w:rsid w:val="20D94C47"/>
    <w:rsid w:val="20E56052"/>
    <w:rsid w:val="20EE116E"/>
    <w:rsid w:val="20EF5739"/>
    <w:rsid w:val="20F120BD"/>
    <w:rsid w:val="21062324"/>
    <w:rsid w:val="21117017"/>
    <w:rsid w:val="213268D3"/>
    <w:rsid w:val="21366FCC"/>
    <w:rsid w:val="213C3F7D"/>
    <w:rsid w:val="214305BC"/>
    <w:rsid w:val="21612E4E"/>
    <w:rsid w:val="217405E4"/>
    <w:rsid w:val="217F304F"/>
    <w:rsid w:val="2184131C"/>
    <w:rsid w:val="21A85FAE"/>
    <w:rsid w:val="21BC181E"/>
    <w:rsid w:val="21BE5DAA"/>
    <w:rsid w:val="21C21887"/>
    <w:rsid w:val="21C86E6F"/>
    <w:rsid w:val="21DB61F4"/>
    <w:rsid w:val="21FC17F6"/>
    <w:rsid w:val="22032F8D"/>
    <w:rsid w:val="220465E3"/>
    <w:rsid w:val="22130343"/>
    <w:rsid w:val="221D4327"/>
    <w:rsid w:val="22236CD0"/>
    <w:rsid w:val="22327D5C"/>
    <w:rsid w:val="223B6BAC"/>
    <w:rsid w:val="223E1E8C"/>
    <w:rsid w:val="224008DA"/>
    <w:rsid w:val="22433AFC"/>
    <w:rsid w:val="225D233A"/>
    <w:rsid w:val="225E2EE6"/>
    <w:rsid w:val="22635651"/>
    <w:rsid w:val="227128FD"/>
    <w:rsid w:val="227847C2"/>
    <w:rsid w:val="229C09FC"/>
    <w:rsid w:val="229C6476"/>
    <w:rsid w:val="22A25F8B"/>
    <w:rsid w:val="22DA00C0"/>
    <w:rsid w:val="22F90EC9"/>
    <w:rsid w:val="23067EB7"/>
    <w:rsid w:val="230A0C6E"/>
    <w:rsid w:val="23190F2E"/>
    <w:rsid w:val="231B7D3B"/>
    <w:rsid w:val="23241D8E"/>
    <w:rsid w:val="2331683B"/>
    <w:rsid w:val="233552AE"/>
    <w:rsid w:val="23580056"/>
    <w:rsid w:val="23594929"/>
    <w:rsid w:val="235E6D39"/>
    <w:rsid w:val="2365696F"/>
    <w:rsid w:val="23662202"/>
    <w:rsid w:val="23734094"/>
    <w:rsid w:val="239B7D77"/>
    <w:rsid w:val="23AC3F0E"/>
    <w:rsid w:val="23B17ADD"/>
    <w:rsid w:val="23C35DED"/>
    <w:rsid w:val="23F8573A"/>
    <w:rsid w:val="24086DA7"/>
    <w:rsid w:val="24175718"/>
    <w:rsid w:val="247D22B3"/>
    <w:rsid w:val="248B168A"/>
    <w:rsid w:val="2491445C"/>
    <w:rsid w:val="24D91742"/>
    <w:rsid w:val="24EA0BF7"/>
    <w:rsid w:val="24F05EE5"/>
    <w:rsid w:val="2530742C"/>
    <w:rsid w:val="25424CAE"/>
    <w:rsid w:val="25497FA0"/>
    <w:rsid w:val="255B7058"/>
    <w:rsid w:val="2582179B"/>
    <w:rsid w:val="25862994"/>
    <w:rsid w:val="25AD27EC"/>
    <w:rsid w:val="25B10A2D"/>
    <w:rsid w:val="25C31977"/>
    <w:rsid w:val="25CE4F4A"/>
    <w:rsid w:val="25DC4FAA"/>
    <w:rsid w:val="25ED7256"/>
    <w:rsid w:val="26394A73"/>
    <w:rsid w:val="263E17C9"/>
    <w:rsid w:val="2641609B"/>
    <w:rsid w:val="264733E5"/>
    <w:rsid w:val="265A7B17"/>
    <w:rsid w:val="26F57001"/>
    <w:rsid w:val="26F74B91"/>
    <w:rsid w:val="26FA7227"/>
    <w:rsid w:val="26FC7110"/>
    <w:rsid w:val="27066C0B"/>
    <w:rsid w:val="27134819"/>
    <w:rsid w:val="271811B2"/>
    <w:rsid w:val="271F02BA"/>
    <w:rsid w:val="27226943"/>
    <w:rsid w:val="27290FDC"/>
    <w:rsid w:val="27413066"/>
    <w:rsid w:val="27561A5A"/>
    <w:rsid w:val="2760396C"/>
    <w:rsid w:val="276753AB"/>
    <w:rsid w:val="2784257D"/>
    <w:rsid w:val="27850E4A"/>
    <w:rsid w:val="27902402"/>
    <w:rsid w:val="279C713E"/>
    <w:rsid w:val="27AF66A3"/>
    <w:rsid w:val="27BC6003"/>
    <w:rsid w:val="27C62065"/>
    <w:rsid w:val="27C874FA"/>
    <w:rsid w:val="27D330D3"/>
    <w:rsid w:val="28146E2A"/>
    <w:rsid w:val="28286AE9"/>
    <w:rsid w:val="282A3FC8"/>
    <w:rsid w:val="2842497E"/>
    <w:rsid w:val="28594F53"/>
    <w:rsid w:val="285C4E02"/>
    <w:rsid w:val="28616198"/>
    <w:rsid w:val="28634949"/>
    <w:rsid w:val="286501AB"/>
    <w:rsid w:val="287177C9"/>
    <w:rsid w:val="28990396"/>
    <w:rsid w:val="289B33DB"/>
    <w:rsid w:val="289C1707"/>
    <w:rsid w:val="28B4555E"/>
    <w:rsid w:val="28BC3693"/>
    <w:rsid w:val="28D66E89"/>
    <w:rsid w:val="28EC6171"/>
    <w:rsid w:val="29152DEA"/>
    <w:rsid w:val="29350657"/>
    <w:rsid w:val="294B485B"/>
    <w:rsid w:val="297D66C5"/>
    <w:rsid w:val="2998782B"/>
    <w:rsid w:val="29A82A28"/>
    <w:rsid w:val="29CA6117"/>
    <w:rsid w:val="29E66A09"/>
    <w:rsid w:val="29F86F5D"/>
    <w:rsid w:val="2A201C73"/>
    <w:rsid w:val="2A252883"/>
    <w:rsid w:val="2A632BA2"/>
    <w:rsid w:val="2A90326F"/>
    <w:rsid w:val="2A941ABA"/>
    <w:rsid w:val="2A972ED3"/>
    <w:rsid w:val="2AB76AD4"/>
    <w:rsid w:val="2AC80435"/>
    <w:rsid w:val="2ACA5D73"/>
    <w:rsid w:val="2ADB0D8F"/>
    <w:rsid w:val="2AE54DF9"/>
    <w:rsid w:val="2B2C7CF4"/>
    <w:rsid w:val="2B3010FD"/>
    <w:rsid w:val="2B321B41"/>
    <w:rsid w:val="2B3634D1"/>
    <w:rsid w:val="2B646998"/>
    <w:rsid w:val="2B66213B"/>
    <w:rsid w:val="2B7D2116"/>
    <w:rsid w:val="2BAB633C"/>
    <w:rsid w:val="2BB76841"/>
    <w:rsid w:val="2BCA3F97"/>
    <w:rsid w:val="2BD15253"/>
    <w:rsid w:val="2BE75D82"/>
    <w:rsid w:val="2BF02A4D"/>
    <w:rsid w:val="2BF71294"/>
    <w:rsid w:val="2C176ED4"/>
    <w:rsid w:val="2C18678A"/>
    <w:rsid w:val="2C253612"/>
    <w:rsid w:val="2C2F5B33"/>
    <w:rsid w:val="2C3B47B1"/>
    <w:rsid w:val="2C4505AD"/>
    <w:rsid w:val="2C490565"/>
    <w:rsid w:val="2C5B79AF"/>
    <w:rsid w:val="2C5F332D"/>
    <w:rsid w:val="2C77559E"/>
    <w:rsid w:val="2CB1765A"/>
    <w:rsid w:val="2CB77290"/>
    <w:rsid w:val="2CB9257C"/>
    <w:rsid w:val="2CD457CB"/>
    <w:rsid w:val="2CF24C5E"/>
    <w:rsid w:val="2CFC682E"/>
    <w:rsid w:val="2D432E21"/>
    <w:rsid w:val="2D4F1331"/>
    <w:rsid w:val="2D512BD3"/>
    <w:rsid w:val="2D52445D"/>
    <w:rsid w:val="2D6C301C"/>
    <w:rsid w:val="2D846A88"/>
    <w:rsid w:val="2DB149AD"/>
    <w:rsid w:val="2DD13716"/>
    <w:rsid w:val="2DDB650B"/>
    <w:rsid w:val="2DEE35CC"/>
    <w:rsid w:val="2E0057B4"/>
    <w:rsid w:val="2E047243"/>
    <w:rsid w:val="2E23253B"/>
    <w:rsid w:val="2E274BD3"/>
    <w:rsid w:val="2E352BD8"/>
    <w:rsid w:val="2E3811E1"/>
    <w:rsid w:val="2E7D4A5F"/>
    <w:rsid w:val="2E8A6CA5"/>
    <w:rsid w:val="2E8C12A2"/>
    <w:rsid w:val="2E8C5E5E"/>
    <w:rsid w:val="2E957033"/>
    <w:rsid w:val="2EB169C3"/>
    <w:rsid w:val="2EC95AF6"/>
    <w:rsid w:val="2ECC624A"/>
    <w:rsid w:val="2F8A2616"/>
    <w:rsid w:val="2F8E12CB"/>
    <w:rsid w:val="2FBB124E"/>
    <w:rsid w:val="2FBB3B7E"/>
    <w:rsid w:val="2FCF33C9"/>
    <w:rsid w:val="2FDE7855"/>
    <w:rsid w:val="301E7F36"/>
    <w:rsid w:val="30335663"/>
    <w:rsid w:val="3051251F"/>
    <w:rsid w:val="307E5862"/>
    <w:rsid w:val="30934601"/>
    <w:rsid w:val="30A64623"/>
    <w:rsid w:val="30B26C3D"/>
    <w:rsid w:val="30B9211C"/>
    <w:rsid w:val="30B967A6"/>
    <w:rsid w:val="30BA7323"/>
    <w:rsid w:val="30CA307A"/>
    <w:rsid w:val="30D44BA0"/>
    <w:rsid w:val="30D655D3"/>
    <w:rsid w:val="30DD2E55"/>
    <w:rsid w:val="30EF4D9F"/>
    <w:rsid w:val="30F07309"/>
    <w:rsid w:val="30FC53D1"/>
    <w:rsid w:val="310D0C2B"/>
    <w:rsid w:val="311571B4"/>
    <w:rsid w:val="31217614"/>
    <w:rsid w:val="31273865"/>
    <w:rsid w:val="313000E6"/>
    <w:rsid w:val="317306FF"/>
    <w:rsid w:val="318F3E9B"/>
    <w:rsid w:val="31AB65E6"/>
    <w:rsid w:val="31D900EF"/>
    <w:rsid w:val="31E8545C"/>
    <w:rsid w:val="31ED71BD"/>
    <w:rsid w:val="31FD58E8"/>
    <w:rsid w:val="31FE070D"/>
    <w:rsid w:val="321E74D4"/>
    <w:rsid w:val="32237A84"/>
    <w:rsid w:val="324024F0"/>
    <w:rsid w:val="32514515"/>
    <w:rsid w:val="326129B0"/>
    <w:rsid w:val="327624C8"/>
    <w:rsid w:val="32892C17"/>
    <w:rsid w:val="32893F25"/>
    <w:rsid w:val="329F5432"/>
    <w:rsid w:val="32A01035"/>
    <w:rsid w:val="32B315F4"/>
    <w:rsid w:val="32B6707F"/>
    <w:rsid w:val="32BA35E9"/>
    <w:rsid w:val="32BD123D"/>
    <w:rsid w:val="32F054FB"/>
    <w:rsid w:val="32FE3900"/>
    <w:rsid w:val="33071E6F"/>
    <w:rsid w:val="332C30E1"/>
    <w:rsid w:val="33397188"/>
    <w:rsid w:val="334E6B74"/>
    <w:rsid w:val="3357140C"/>
    <w:rsid w:val="335D3A66"/>
    <w:rsid w:val="33823847"/>
    <w:rsid w:val="339A256E"/>
    <w:rsid w:val="33A91C11"/>
    <w:rsid w:val="33BB2170"/>
    <w:rsid w:val="33DC035C"/>
    <w:rsid w:val="33FB2FD1"/>
    <w:rsid w:val="340D63BB"/>
    <w:rsid w:val="3415193B"/>
    <w:rsid w:val="342226B0"/>
    <w:rsid w:val="342618DD"/>
    <w:rsid w:val="34347468"/>
    <w:rsid w:val="34420C45"/>
    <w:rsid w:val="346672AD"/>
    <w:rsid w:val="347D5DA7"/>
    <w:rsid w:val="348F2675"/>
    <w:rsid w:val="34A34B73"/>
    <w:rsid w:val="34DF7591"/>
    <w:rsid w:val="34FE7DA3"/>
    <w:rsid w:val="353A38BA"/>
    <w:rsid w:val="354C65A1"/>
    <w:rsid w:val="357A50CB"/>
    <w:rsid w:val="357F215A"/>
    <w:rsid w:val="35947E61"/>
    <w:rsid w:val="35B144E3"/>
    <w:rsid w:val="35B318B8"/>
    <w:rsid w:val="35D34FA3"/>
    <w:rsid w:val="35F00BE8"/>
    <w:rsid w:val="36394C3F"/>
    <w:rsid w:val="367F7424"/>
    <w:rsid w:val="36860ED6"/>
    <w:rsid w:val="36884C7D"/>
    <w:rsid w:val="36A45318"/>
    <w:rsid w:val="36A964F3"/>
    <w:rsid w:val="36AD3C5A"/>
    <w:rsid w:val="37042A15"/>
    <w:rsid w:val="371A4C47"/>
    <w:rsid w:val="373E5B06"/>
    <w:rsid w:val="375636EC"/>
    <w:rsid w:val="375A5A9E"/>
    <w:rsid w:val="3761653F"/>
    <w:rsid w:val="37691FB7"/>
    <w:rsid w:val="376F4C1F"/>
    <w:rsid w:val="37975635"/>
    <w:rsid w:val="37A06AC5"/>
    <w:rsid w:val="37DD07EC"/>
    <w:rsid w:val="37EE6CB2"/>
    <w:rsid w:val="38033B5B"/>
    <w:rsid w:val="38041C91"/>
    <w:rsid w:val="380C2A1A"/>
    <w:rsid w:val="380E6508"/>
    <w:rsid w:val="38170121"/>
    <w:rsid w:val="38280C22"/>
    <w:rsid w:val="38393A64"/>
    <w:rsid w:val="38462163"/>
    <w:rsid w:val="387C415C"/>
    <w:rsid w:val="38AD0A8F"/>
    <w:rsid w:val="38B500A1"/>
    <w:rsid w:val="38B970FF"/>
    <w:rsid w:val="38C234E6"/>
    <w:rsid w:val="38ED4972"/>
    <w:rsid w:val="3913469C"/>
    <w:rsid w:val="39371D5B"/>
    <w:rsid w:val="394D3BE1"/>
    <w:rsid w:val="395A7968"/>
    <w:rsid w:val="395F6E1C"/>
    <w:rsid w:val="39682B17"/>
    <w:rsid w:val="399948B5"/>
    <w:rsid w:val="39D05A04"/>
    <w:rsid w:val="3A224647"/>
    <w:rsid w:val="3A497AA2"/>
    <w:rsid w:val="3A523424"/>
    <w:rsid w:val="3A823906"/>
    <w:rsid w:val="3A8C6F56"/>
    <w:rsid w:val="3A903AE0"/>
    <w:rsid w:val="3AA673D4"/>
    <w:rsid w:val="3AA83435"/>
    <w:rsid w:val="3AAA540C"/>
    <w:rsid w:val="3AD02304"/>
    <w:rsid w:val="3AF551AA"/>
    <w:rsid w:val="3B030B08"/>
    <w:rsid w:val="3B0F3271"/>
    <w:rsid w:val="3B1D68B3"/>
    <w:rsid w:val="3B276FB8"/>
    <w:rsid w:val="3B3C0F0C"/>
    <w:rsid w:val="3B4207A4"/>
    <w:rsid w:val="3B440CF8"/>
    <w:rsid w:val="3B653118"/>
    <w:rsid w:val="3B70780B"/>
    <w:rsid w:val="3B7F3B28"/>
    <w:rsid w:val="3B847657"/>
    <w:rsid w:val="3B8F2A1E"/>
    <w:rsid w:val="3BA34E5E"/>
    <w:rsid w:val="3BC5476C"/>
    <w:rsid w:val="3BC83EBE"/>
    <w:rsid w:val="3BE07215"/>
    <w:rsid w:val="3BE42CFE"/>
    <w:rsid w:val="3BEE7236"/>
    <w:rsid w:val="3C0834BB"/>
    <w:rsid w:val="3C0E4507"/>
    <w:rsid w:val="3C1A09F8"/>
    <w:rsid w:val="3C205FD7"/>
    <w:rsid w:val="3C2A6E3F"/>
    <w:rsid w:val="3C342656"/>
    <w:rsid w:val="3C3561E5"/>
    <w:rsid w:val="3C3F2DBB"/>
    <w:rsid w:val="3C534380"/>
    <w:rsid w:val="3C5D5352"/>
    <w:rsid w:val="3C5E305B"/>
    <w:rsid w:val="3CAF2896"/>
    <w:rsid w:val="3CAF443E"/>
    <w:rsid w:val="3CC564EF"/>
    <w:rsid w:val="3D0472E2"/>
    <w:rsid w:val="3D1C7809"/>
    <w:rsid w:val="3D452F06"/>
    <w:rsid w:val="3D45429C"/>
    <w:rsid w:val="3D796439"/>
    <w:rsid w:val="3D8170BC"/>
    <w:rsid w:val="3DA1158B"/>
    <w:rsid w:val="3DC90C6A"/>
    <w:rsid w:val="3DF00DE0"/>
    <w:rsid w:val="3DF974D4"/>
    <w:rsid w:val="3DFB3792"/>
    <w:rsid w:val="3E013FF1"/>
    <w:rsid w:val="3E131FFB"/>
    <w:rsid w:val="3E164508"/>
    <w:rsid w:val="3E6F4B48"/>
    <w:rsid w:val="3E766C19"/>
    <w:rsid w:val="3E7A1AFF"/>
    <w:rsid w:val="3E7B1A0C"/>
    <w:rsid w:val="3E981407"/>
    <w:rsid w:val="3EC040AE"/>
    <w:rsid w:val="3ECA31F7"/>
    <w:rsid w:val="3ED234DF"/>
    <w:rsid w:val="3EDC0B15"/>
    <w:rsid w:val="3F073D4B"/>
    <w:rsid w:val="3F1639E7"/>
    <w:rsid w:val="3F294181"/>
    <w:rsid w:val="3F2B6130"/>
    <w:rsid w:val="3F704D08"/>
    <w:rsid w:val="3F73042A"/>
    <w:rsid w:val="3F900039"/>
    <w:rsid w:val="3F942AC9"/>
    <w:rsid w:val="3FA263F5"/>
    <w:rsid w:val="3FAD3B9E"/>
    <w:rsid w:val="3FAF0332"/>
    <w:rsid w:val="3FBB721D"/>
    <w:rsid w:val="3FC84142"/>
    <w:rsid w:val="3FD300B3"/>
    <w:rsid w:val="3FE02B10"/>
    <w:rsid w:val="3FF35451"/>
    <w:rsid w:val="3FFA5A3A"/>
    <w:rsid w:val="3FFF12A5"/>
    <w:rsid w:val="40307871"/>
    <w:rsid w:val="403A7B46"/>
    <w:rsid w:val="403C3E07"/>
    <w:rsid w:val="403E2C6A"/>
    <w:rsid w:val="405C15F1"/>
    <w:rsid w:val="406A066D"/>
    <w:rsid w:val="406F7A0A"/>
    <w:rsid w:val="40844AB1"/>
    <w:rsid w:val="409520A8"/>
    <w:rsid w:val="40A7579C"/>
    <w:rsid w:val="40A76E28"/>
    <w:rsid w:val="40B06A85"/>
    <w:rsid w:val="41042C4C"/>
    <w:rsid w:val="41082EE0"/>
    <w:rsid w:val="41096016"/>
    <w:rsid w:val="412555DD"/>
    <w:rsid w:val="413C7252"/>
    <w:rsid w:val="413E392E"/>
    <w:rsid w:val="414B0BB2"/>
    <w:rsid w:val="416D396C"/>
    <w:rsid w:val="418E22AA"/>
    <w:rsid w:val="41A93948"/>
    <w:rsid w:val="41AB4CA4"/>
    <w:rsid w:val="41B50E30"/>
    <w:rsid w:val="42036DEC"/>
    <w:rsid w:val="420513BA"/>
    <w:rsid w:val="421626B2"/>
    <w:rsid w:val="42242509"/>
    <w:rsid w:val="42555108"/>
    <w:rsid w:val="4260619D"/>
    <w:rsid w:val="42672DD5"/>
    <w:rsid w:val="429D30FD"/>
    <w:rsid w:val="429F1688"/>
    <w:rsid w:val="42CB396C"/>
    <w:rsid w:val="42F95CCF"/>
    <w:rsid w:val="430C038E"/>
    <w:rsid w:val="431A3E2D"/>
    <w:rsid w:val="433151F4"/>
    <w:rsid w:val="4399383B"/>
    <w:rsid w:val="43A173F0"/>
    <w:rsid w:val="43A36C29"/>
    <w:rsid w:val="43B32A77"/>
    <w:rsid w:val="43CE6CE0"/>
    <w:rsid w:val="43D51B2F"/>
    <w:rsid w:val="44002FC4"/>
    <w:rsid w:val="44020099"/>
    <w:rsid w:val="440B38B1"/>
    <w:rsid w:val="44217850"/>
    <w:rsid w:val="442C65DC"/>
    <w:rsid w:val="442C6AA9"/>
    <w:rsid w:val="44467CC2"/>
    <w:rsid w:val="446812A4"/>
    <w:rsid w:val="44693B9A"/>
    <w:rsid w:val="446B5617"/>
    <w:rsid w:val="447A47CF"/>
    <w:rsid w:val="448E3B58"/>
    <w:rsid w:val="44915068"/>
    <w:rsid w:val="449E2466"/>
    <w:rsid w:val="449F1576"/>
    <w:rsid w:val="44B171B5"/>
    <w:rsid w:val="44B34AE8"/>
    <w:rsid w:val="44B82206"/>
    <w:rsid w:val="44BC3C3B"/>
    <w:rsid w:val="44CB4303"/>
    <w:rsid w:val="450755BF"/>
    <w:rsid w:val="450A4167"/>
    <w:rsid w:val="45141D7D"/>
    <w:rsid w:val="452F1E2E"/>
    <w:rsid w:val="4530646E"/>
    <w:rsid w:val="454A7129"/>
    <w:rsid w:val="454E2BC5"/>
    <w:rsid w:val="45556D6D"/>
    <w:rsid w:val="455F0A7B"/>
    <w:rsid w:val="4595583B"/>
    <w:rsid w:val="45CB5935"/>
    <w:rsid w:val="45DC39D9"/>
    <w:rsid w:val="45E77FDE"/>
    <w:rsid w:val="45F41D8B"/>
    <w:rsid w:val="46141E9D"/>
    <w:rsid w:val="4647643E"/>
    <w:rsid w:val="466B5D65"/>
    <w:rsid w:val="469C1ED1"/>
    <w:rsid w:val="46AC7C28"/>
    <w:rsid w:val="46B8460F"/>
    <w:rsid w:val="46C52F56"/>
    <w:rsid w:val="46D652B1"/>
    <w:rsid w:val="46E02D5F"/>
    <w:rsid w:val="46F40AF7"/>
    <w:rsid w:val="47077203"/>
    <w:rsid w:val="47194A4A"/>
    <w:rsid w:val="472655D4"/>
    <w:rsid w:val="474846DD"/>
    <w:rsid w:val="475B0E56"/>
    <w:rsid w:val="47614C9A"/>
    <w:rsid w:val="476F2652"/>
    <w:rsid w:val="476F675F"/>
    <w:rsid w:val="479A7F01"/>
    <w:rsid w:val="47C47B8C"/>
    <w:rsid w:val="47C55197"/>
    <w:rsid w:val="47D678A7"/>
    <w:rsid w:val="47D7042D"/>
    <w:rsid w:val="47DE01F5"/>
    <w:rsid w:val="47E907A9"/>
    <w:rsid w:val="47F52408"/>
    <w:rsid w:val="47FF13C6"/>
    <w:rsid w:val="48184D0B"/>
    <w:rsid w:val="48222B0C"/>
    <w:rsid w:val="48306536"/>
    <w:rsid w:val="483204CC"/>
    <w:rsid w:val="483802D1"/>
    <w:rsid w:val="48392772"/>
    <w:rsid w:val="483D0898"/>
    <w:rsid w:val="483D2AC9"/>
    <w:rsid w:val="48416713"/>
    <w:rsid w:val="484C2E3E"/>
    <w:rsid w:val="4868506D"/>
    <w:rsid w:val="48863917"/>
    <w:rsid w:val="489742BD"/>
    <w:rsid w:val="489D78C6"/>
    <w:rsid w:val="48A069DD"/>
    <w:rsid w:val="48CF3D3D"/>
    <w:rsid w:val="48E47F08"/>
    <w:rsid w:val="49086C3C"/>
    <w:rsid w:val="49096626"/>
    <w:rsid w:val="491113B8"/>
    <w:rsid w:val="49133FDD"/>
    <w:rsid w:val="491671F1"/>
    <w:rsid w:val="491F3941"/>
    <w:rsid w:val="496403FB"/>
    <w:rsid w:val="49641368"/>
    <w:rsid w:val="496C4DF4"/>
    <w:rsid w:val="4976093A"/>
    <w:rsid w:val="497C3C2C"/>
    <w:rsid w:val="499A70ED"/>
    <w:rsid w:val="499B1643"/>
    <w:rsid w:val="49A0102B"/>
    <w:rsid w:val="49B956F8"/>
    <w:rsid w:val="49EF2212"/>
    <w:rsid w:val="49F341BD"/>
    <w:rsid w:val="4A174160"/>
    <w:rsid w:val="4A27219C"/>
    <w:rsid w:val="4A5B0569"/>
    <w:rsid w:val="4A6721C7"/>
    <w:rsid w:val="4A6973FD"/>
    <w:rsid w:val="4A6D4D1F"/>
    <w:rsid w:val="4A971DC9"/>
    <w:rsid w:val="4AAE5C05"/>
    <w:rsid w:val="4AB1773C"/>
    <w:rsid w:val="4AC46249"/>
    <w:rsid w:val="4AC70879"/>
    <w:rsid w:val="4AE72216"/>
    <w:rsid w:val="4AF73E1D"/>
    <w:rsid w:val="4B31423A"/>
    <w:rsid w:val="4B405C80"/>
    <w:rsid w:val="4B426D77"/>
    <w:rsid w:val="4B4945D1"/>
    <w:rsid w:val="4B5E300F"/>
    <w:rsid w:val="4B6321B9"/>
    <w:rsid w:val="4B7A3968"/>
    <w:rsid w:val="4B8F6C99"/>
    <w:rsid w:val="4BC009F5"/>
    <w:rsid w:val="4BCB768C"/>
    <w:rsid w:val="4BD17FB6"/>
    <w:rsid w:val="4BDA3A23"/>
    <w:rsid w:val="4BDA659B"/>
    <w:rsid w:val="4BED18E2"/>
    <w:rsid w:val="4BF64661"/>
    <w:rsid w:val="4BF7715A"/>
    <w:rsid w:val="4BFA4D0D"/>
    <w:rsid w:val="4BFA586B"/>
    <w:rsid w:val="4C034E3C"/>
    <w:rsid w:val="4C0B14E3"/>
    <w:rsid w:val="4C2F12DE"/>
    <w:rsid w:val="4C360B70"/>
    <w:rsid w:val="4C6738D5"/>
    <w:rsid w:val="4C6E4456"/>
    <w:rsid w:val="4C797468"/>
    <w:rsid w:val="4C953C57"/>
    <w:rsid w:val="4C9F2F85"/>
    <w:rsid w:val="4CB603EA"/>
    <w:rsid w:val="4CD862E3"/>
    <w:rsid w:val="4D375BDE"/>
    <w:rsid w:val="4D4A2A90"/>
    <w:rsid w:val="4D604144"/>
    <w:rsid w:val="4D69645A"/>
    <w:rsid w:val="4D6E53FD"/>
    <w:rsid w:val="4D814D2C"/>
    <w:rsid w:val="4D9F16F8"/>
    <w:rsid w:val="4DAD757B"/>
    <w:rsid w:val="4DD06627"/>
    <w:rsid w:val="4DDA09DF"/>
    <w:rsid w:val="4DF77F84"/>
    <w:rsid w:val="4DF92D83"/>
    <w:rsid w:val="4DFC409B"/>
    <w:rsid w:val="4DFE2715"/>
    <w:rsid w:val="4E0017BF"/>
    <w:rsid w:val="4E0F5144"/>
    <w:rsid w:val="4E306A1D"/>
    <w:rsid w:val="4E407BBE"/>
    <w:rsid w:val="4E474E85"/>
    <w:rsid w:val="4E603B3A"/>
    <w:rsid w:val="4E6C7C85"/>
    <w:rsid w:val="4EB654ED"/>
    <w:rsid w:val="4EB86B94"/>
    <w:rsid w:val="4EDE460A"/>
    <w:rsid w:val="4EE3108F"/>
    <w:rsid w:val="4EF15B72"/>
    <w:rsid w:val="4EFC4124"/>
    <w:rsid w:val="4F1C422E"/>
    <w:rsid w:val="4F3A1B6A"/>
    <w:rsid w:val="4F3D1296"/>
    <w:rsid w:val="4F3F6967"/>
    <w:rsid w:val="4F480AE4"/>
    <w:rsid w:val="4F5A3D4C"/>
    <w:rsid w:val="4F8A204E"/>
    <w:rsid w:val="4FA53B5C"/>
    <w:rsid w:val="4FA54B7A"/>
    <w:rsid w:val="4FA85C14"/>
    <w:rsid w:val="4FB81909"/>
    <w:rsid w:val="4FC9291B"/>
    <w:rsid w:val="4FDB39B0"/>
    <w:rsid w:val="501E5A5B"/>
    <w:rsid w:val="50230FC1"/>
    <w:rsid w:val="502D77F6"/>
    <w:rsid w:val="50432AB5"/>
    <w:rsid w:val="504E5DCE"/>
    <w:rsid w:val="50524645"/>
    <w:rsid w:val="50607F6E"/>
    <w:rsid w:val="5071479A"/>
    <w:rsid w:val="507F3867"/>
    <w:rsid w:val="50865438"/>
    <w:rsid w:val="50D94F08"/>
    <w:rsid w:val="50DB2431"/>
    <w:rsid w:val="50DB28CE"/>
    <w:rsid w:val="5103387B"/>
    <w:rsid w:val="510A60D3"/>
    <w:rsid w:val="51741D04"/>
    <w:rsid w:val="51A25E12"/>
    <w:rsid w:val="51A61AF1"/>
    <w:rsid w:val="51B934C9"/>
    <w:rsid w:val="51E64CC9"/>
    <w:rsid w:val="51EA3DB8"/>
    <w:rsid w:val="51EE4151"/>
    <w:rsid w:val="520E30B5"/>
    <w:rsid w:val="52145EE7"/>
    <w:rsid w:val="522D4A05"/>
    <w:rsid w:val="523B389C"/>
    <w:rsid w:val="5250251E"/>
    <w:rsid w:val="5250729E"/>
    <w:rsid w:val="52854294"/>
    <w:rsid w:val="52B63636"/>
    <w:rsid w:val="52D015D5"/>
    <w:rsid w:val="52F82091"/>
    <w:rsid w:val="531A25A9"/>
    <w:rsid w:val="53452552"/>
    <w:rsid w:val="53486E30"/>
    <w:rsid w:val="535514C7"/>
    <w:rsid w:val="53611C79"/>
    <w:rsid w:val="53992DA6"/>
    <w:rsid w:val="53B84C4E"/>
    <w:rsid w:val="53E00E0F"/>
    <w:rsid w:val="53F10CDC"/>
    <w:rsid w:val="53F27840"/>
    <w:rsid w:val="540E7EA2"/>
    <w:rsid w:val="54121FA2"/>
    <w:rsid w:val="541306AD"/>
    <w:rsid w:val="542F379E"/>
    <w:rsid w:val="54315779"/>
    <w:rsid w:val="544B7488"/>
    <w:rsid w:val="545B4BDA"/>
    <w:rsid w:val="54803742"/>
    <w:rsid w:val="54B37FF5"/>
    <w:rsid w:val="54F80052"/>
    <w:rsid w:val="54F96323"/>
    <w:rsid w:val="54FA5E38"/>
    <w:rsid w:val="55105567"/>
    <w:rsid w:val="55291460"/>
    <w:rsid w:val="553F46BC"/>
    <w:rsid w:val="554A70BF"/>
    <w:rsid w:val="55505E52"/>
    <w:rsid w:val="555174A4"/>
    <w:rsid w:val="5555142E"/>
    <w:rsid w:val="556C7FCE"/>
    <w:rsid w:val="556F0191"/>
    <w:rsid w:val="55894AEE"/>
    <w:rsid w:val="55956B27"/>
    <w:rsid w:val="55A34781"/>
    <w:rsid w:val="55A43DBF"/>
    <w:rsid w:val="55BD5DC6"/>
    <w:rsid w:val="55E126FD"/>
    <w:rsid w:val="55F1223A"/>
    <w:rsid w:val="561156FB"/>
    <w:rsid w:val="56331CEA"/>
    <w:rsid w:val="56485FC5"/>
    <w:rsid w:val="565616E2"/>
    <w:rsid w:val="567565DA"/>
    <w:rsid w:val="56861437"/>
    <w:rsid w:val="56A342F6"/>
    <w:rsid w:val="56AA2E61"/>
    <w:rsid w:val="56B26643"/>
    <w:rsid w:val="56CB53DD"/>
    <w:rsid w:val="56E71CD2"/>
    <w:rsid w:val="570C4859"/>
    <w:rsid w:val="570F2C2D"/>
    <w:rsid w:val="571D26CF"/>
    <w:rsid w:val="57447179"/>
    <w:rsid w:val="574711E6"/>
    <w:rsid w:val="5747467C"/>
    <w:rsid w:val="576E666A"/>
    <w:rsid w:val="576F46CA"/>
    <w:rsid w:val="5796777B"/>
    <w:rsid w:val="57B764DE"/>
    <w:rsid w:val="57C16C46"/>
    <w:rsid w:val="57DD27F8"/>
    <w:rsid w:val="57DD6F1E"/>
    <w:rsid w:val="57E47820"/>
    <w:rsid w:val="57F1095C"/>
    <w:rsid w:val="57F5323F"/>
    <w:rsid w:val="57FA6030"/>
    <w:rsid w:val="57FD70CB"/>
    <w:rsid w:val="5805007B"/>
    <w:rsid w:val="58064171"/>
    <w:rsid w:val="580901C9"/>
    <w:rsid w:val="58126896"/>
    <w:rsid w:val="581B0ADB"/>
    <w:rsid w:val="58647BD1"/>
    <w:rsid w:val="586B2A09"/>
    <w:rsid w:val="588F239A"/>
    <w:rsid w:val="589034D3"/>
    <w:rsid w:val="58977F20"/>
    <w:rsid w:val="58C426D7"/>
    <w:rsid w:val="58C57714"/>
    <w:rsid w:val="58D03873"/>
    <w:rsid w:val="58F3413E"/>
    <w:rsid w:val="5900361E"/>
    <w:rsid w:val="59080001"/>
    <w:rsid w:val="59083FA1"/>
    <w:rsid w:val="59146B04"/>
    <w:rsid w:val="591A600E"/>
    <w:rsid w:val="59270294"/>
    <w:rsid w:val="59420A5E"/>
    <w:rsid w:val="59453246"/>
    <w:rsid w:val="596A7B53"/>
    <w:rsid w:val="5970091E"/>
    <w:rsid w:val="598E2FCF"/>
    <w:rsid w:val="59950324"/>
    <w:rsid w:val="59982A0A"/>
    <w:rsid w:val="59AE5912"/>
    <w:rsid w:val="59E6622F"/>
    <w:rsid w:val="59FC753D"/>
    <w:rsid w:val="5A102D21"/>
    <w:rsid w:val="5A3366AB"/>
    <w:rsid w:val="5A35602C"/>
    <w:rsid w:val="5A5B572F"/>
    <w:rsid w:val="5A612ED9"/>
    <w:rsid w:val="5A8D72BB"/>
    <w:rsid w:val="5AE2290F"/>
    <w:rsid w:val="5B0C7200"/>
    <w:rsid w:val="5B2F323B"/>
    <w:rsid w:val="5B3225F3"/>
    <w:rsid w:val="5B827840"/>
    <w:rsid w:val="5B8E3E78"/>
    <w:rsid w:val="5BA42C36"/>
    <w:rsid w:val="5BAD28C5"/>
    <w:rsid w:val="5BBB60F3"/>
    <w:rsid w:val="5BC61CE0"/>
    <w:rsid w:val="5BD3528A"/>
    <w:rsid w:val="5BF567CD"/>
    <w:rsid w:val="5C08022C"/>
    <w:rsid w:val="5C3E0E03"/>
    <w:rsid w:val="5C574EA0"/>
    <w:rsid w:val="5C8E746E"/>
    <w:rsid w:val="5C98440A"/>
    <w:rsid w:val="5CA462EA"/>
    <w:rsid w:val="5CA72002"/>
    <w:rsid w:val="5CC9388E"/>
    <w:rsid w:val="5CED7056"/>
    <w:rsid w:val="5CF60AD3"/>
    <w:rsid w:val="5D0245D2"/>
    <w:rsid w:val="5D094931"/>
    <w:rsid w:val="5D40691B"/>
    <w:rsid w:val="5D910506"/>
    <w:rsid w:val="5DB0763B"/>
    <w:rsid w:val="5DE814C1"/>
    <w:rsid w:val="5E0A3197"/>
    <w:rsid w:val="5E135A7C"/>
    <w:rsid w:val="5E141A36"/>
    <w:rsid w:val="5E180564"/>
    <w:rsid w:val="5E436370"/>
    <w:rsid w:val="5E675814"/>
    <w:rsid w:val="5E7F7259"/>
    <w:rsid w:val="5E8F063A"/>
    <w:rsid w:val="5EAF4C57"/>
    <w:rsid w:val="5EC20DE2"/>
    <w:rsid w:val="5F3123A1"/>
    <w:rsid w:val="5F316DCE"/>
    <w:rsid w:val="5F4029A6"/>
    <w:rsid w:val="5F441D8B"/>
    <w:rsid w:val="5F470F57"/>
    <w:rsid w:val="5F6453C8"/>
    <w:rsid w:val="5FAB55E5"/>
    <w:rsid w:val="5FEE6F84"/>
    <w:rsid w:val="5FF80C9B"/>
    <w:rsid w:val="600177A5"/>
    <w:rsid w:val="60040050"/>
    <w:rsid w:val="600D5287"/>
    <w:rsid w:val="601B3D06"/>
    <w:rsid w:val="605C4413"/>
    <w:rsid w:val="607419D9"/>
    <w:rsid w:val="607A1DB1"/>
    <w:rsid w:val="60847BE2"/>
    <w:rsid w:val="60950AB1"/>
    <w:rsid w:val="609918D5"/>
    <w:rsid w:val="60AB74FA"/>
    <w:rsid w:val="60AC1FDB"/>
    <w:rsid w:val="60B012FD"/>
    <w:rsid w:val="60D43A34"/>
    <w:rsid w:val="60D946E2"/>
    <w:rsid w:val="60DD260E"/>
    <w:rsid w:val="60E06669"/>
    <w:rsid w:val="60E35AA5"/>
    <w:rsid w:val="60E54637"/>
    <w:rsid w:val="60EF4AF5"/>
    <w:rsid w:val="60F77B69"/>
    <w:rsid w:val="61021B23"/>
    <w:rsid w:val="61113C45"/>
    <w:rsid w:val="61141ACD"/>
    <w:rsid w:val="61197E36"/>
    <w:rsid w:val="612930A4"/>
    <w:rsid w:val="612C33F5"/>
    <w:rsid w:val="61373E63"/>
    <w:rsid w:val="61382E3D"/>
    <w:rsid w:val="61663B81"/>
    <w:rsid w:val="61696549"/>
    <w:rsid w:val="617D19FE"/>
    <w:rsid w:val="619C28F9"/>
    <w:rsid w:val="61A37E27"/>
    <w:rsid w:val="61B348E1"/>
    <w:rsid w:val="61D54F1C"/>
    <w:rsid w:val="62004C50"/>
    <w:rsid w:val="62071A21"/>
    <w:rsid w:val="621D6DF6"/>
    <w:rsid w:val="6223655D"/>
    <w:rsid w:val="622E36AB"/>
    <w:rsid w:val="623162B0"/>
    <w:rsid w:val="623B65AA"/>
    <w:rsid w:val="624F4B70"/>
    <w:rsid w:val="62556029"/>
    <w:rsid w:val="627348EB"/>
    <w:rsid w:val="628917D0"/>
    <w:rsid w:val="62AA0E71"/>
    <w:rsid w:val="62B47BC0"/>
    <w:rsid w:val="62B855F4"/>
    <w:rsid w:val="62BA6D0A"/>
    <w:rsid w:val="62E25862"/>
    <w:rsid w:val="62EB544A"/>
    <w:rsid w:val="62F24F49"/>
    <w:rsid w:val="63055326"/>
    <w:rsid w:val="63184009"/>
    <w:rsid w:val="63306A3F"/>
    <w:rsid w:val="6346521D"/>
    <w:rsid w:val="63520AE7"/>
    <w:rsid w:val="63597757"/>
    <w:rsid w:val="636A08F3"/>
    <w:rsid w:val="637326B8"/>
    <w:rsid w:val="63A726EB"/>
    <w:rsid w:val="63B306C8"/>
    <w:rsid w:val="63E73388"/>
    <w:rsid w:val="64056F68"/>
    <w:rsid w:val="6407398D"/>
    <w:rsid w:val="641B2846"/>
    <w:rsid w:val="641E1C41"/>
    <w:rsid w:val="64296065"/>
    <w:rsid w:val="643F3995"/>
    <w:rsid w:val="644A474E"/>
    <w:rsid w:val="644C24CC"/>
    <w:rsid w:val="64565067"/>
    <w:rsid w:val="6461086D"/>
    <w:rsid w:val="647D5E41"/>
    <w:rsid w:val="64AC2A9B"/>
    <w:rsid w:val="64E51E14"/>
    <w:rsid w:val="64F97173"/>
    <w:rsid w:val="6515430E"/>
    <w:rsid w:val="65176356"/>
    <w:rsid w:val="65222441"/>
    <w:rsid w:val="652C57A4"/>
    <w:rsid w:val="653B0067"/>
    <w:rsid w:val="656A4118"/>
    <w:rsid w:val="657B18F6"/>
    <w:rsid w:val="659A3A70"/>
    <w:rsid w:val="659F060C"/>
    <w:rsid w:val="65E31A20"/>
    <w:rsid w:val="65EB7F47"/>
    <w:rsid w:val="66222604"/>
    <w:rsid w:val="663B539F"/>
    <w:rsid w:val="66426C4F"/>
    <w:rsid w:val="66487333"/>
    <w:rsid w:val="665013F1"/>
    <w:rsid w:val="66654C85"/>
    <w:rsid w:val="666F00EE"/>
    <w:rsid w:val="66761FC4"/>
    <w:rsid w:val="66991D57"/>
    <w:rsid w:val="66E65261"/>
    <w:rsid w:val="66ED44C2"/>
    <w:rsid w:val="66ED46D4"/>
    <w:rsid w:val="66F4131A"/>
    <w:rsid w:val="66FC0A1F"/>
    <w:rsid w:val="67014488"/>
    <w:rsid w:val="672E2EC9"/>
    <w:rsid w:val="67372C07"/>
    <w:rsid w:val="67530818"/>
    <w:rsid w:val="67563113"/>
    <w:rsid w:val="67571D6A"/>
    <w:rsid w:val="677E34B0"/>
    <w:rsid w:val="679F3D0C"/>
    <w:rsid w:val="67AA30D1"/>
    <w:rsid w:val="67E10FCD"/>
    <w:rsid w:val="67EC330D"/>
    <w:rsid w:val="67EE514A"/>
    <w:rsid w:val="67FB7D0A"/>
    <w:rsid w:val="680F4F60"/>
    <w:rsid w:val="681C141E"/>
    <w:rsid w:val="681E3C77"/>
    <w:rsid w:val="68223FFD"/>
    <w:rsid w:val="682A264D"/>
    <w:rsid w:val="684C6309"/>
    <w:rsid w:val="68527CCE"/>
    <w:rsid w:val="688A6C55"/>
    <w:rsid w:val="6894439B"/>
    <w:rsid w:val="689F4FE9"/>
    <w:rsid w:val="68A214F0"/>
    <w:rsid w:val="68B273DE"/>
    <w:rsid w:val="68BE790A"/>
    <w:rsid w:val="68CB291A"/>
    <w:rsid w:val="68D66DA4"/>
    <w:rsid w:val="68F10F33"/>
    <w:rsid w:val="68F46CAE"/>
    <w:rsid w:val="690C5D02"/>
    <w:rsid w:val="694150A0"/>
    <w:rsid w:val="695929A3"/>
    <w:rsid w:val="6962231E"/>
    <w:rsid w:val="697D3D15"/>
    <w:rsid w:val="69855C87"/>
    <w:rsid w:val="69C161DD"/>
    <w:rsid w:val="69C420E2"/>
    <w:rsid w:val="69CE709D"/>
    <w:rsid w:val="69E01D2B"/>
    <w:rsid w:val="69EF27C5"/>
    <w:rsid w:val="6A0D59DD"/>
    <w:rsid w:val="6A252624"/>
    <w:rsid w:val="6A32471F"/>
    <w:rsid w:val="6A334086"/>
    <w:rsid w:val="6A4D4606"/>
    <w:rsid w:val="6A543231"/>
    <w:rsid w:val="6A5B7905"/>
    <w:rsid w:val="6A6F68C6"/>
    <w:rsid w:val="6AA704A9"/>
    <w:rsid w:val="6AC92900"/>
    <w:rsid w:val="6AD9782B"/>
    <w:rsid w:val="6ADF1AFE"/>
    <w:rsid w:val="6AEE56F3"/>
    <w:rsid w:val="6B845F89"/>
    <w:rsid w:val="6B8A207A"/>
    <w:rsid w:val="6B9D2FE1"/>
    <w:rsid w:val="6BCB196D"/>
    <w:rsid w:val="6BD27550"/>
    <w:rsid w:val="6BF36F94"/>
    <w:rsid w:val="6BF84502"/>
    <w:rsid w:val="6C0C3BD7"/>
    <w:rsid w:val="6C2B4975"/>
    <w:rsid w:val="6C2F2597"/>
    <w:rsid w:val="6C4108E4"/>
    <w:rsid w:val="6C7D128C"/>
    <w:rsid w:val="6C834DAA"/>
    <w:rsid w:val="6CA51259"/>
    <w:rsid w:val="6CB56F02"/>
    <w:rsid w:val="6CD74440"/>
    <w:rsid w:val="6CE2278B"/>
    <w:rsid w:val="6CE86A93"/>
    <w:rsid w:val="6CED5A7C"/>
    <w:rsid w:val="6D2F3572"/>
    <w:rsid w:val="6D3E44AC"/>
    <w:rsid w:val="6D6B10C6"/>
    <w:rsid w:val="6D7155AD"/>
    <w:rsid w:val="6D85101E"/>
    <w:rsid w:val="6DE34A61"/>
    <w:rsid w:val="6DE50C94"/>
    <w:rsid w:val="6DF93584"/>
    <w:rsid w:val="6E134F9D"/>
    <w:rsid w:val="6E231FE4"/>
    <w:rsid w:val="6E431615"/>
    <w:rsid w:val="6E4B6E64"/>
    <w:rsid w:val="6E6D3950"/>
    <w:rsid w:val="6E870D79"/>
    <w:rsid w:val="6EC61800"/>
    <w:rsid w:val="6ED76BC0"/>
    <w:rsid w:val="6EF04409"/>
    <w:rsid w:val="6F1A569F"/>
    <w:rsid w:val="6F1D1A0E"/>
    <w:rsid w:val="6F252777"/>
    <w:rsid w:val="6F497710"/>
    <w:rsid w:val="6F554BC8"/>
    <w:rsid w:val="6F985AA1"/>
    <w:rsid w:val="6F9B34A3"/>
    <w:rsid w:val="6FA83801"/>
    <w:rsid w:val="6FB14BD0"/>
    <w:rsid w:val="6FB14C56"/>
    <w:rsid w:val="6FBE4941"/>
    <w:rsid w:val="6FC87250"/>
    <w:rsid w:val="6FF60A3A"/>
    <w:rsid w:val="6FFB6B8B"/>
    <w:rsid w:val="6FFC611A"/>
    <w:rsid w:val="700C25DA"/>
    <w:rsid w:val="70441BA3"/>
    <w:rsid w:val="705F07D2"/>
    <w:rsid w:val="706D4880"/>
    <w:rsid w:val="707E19A4"/>
    <w:rsid w:val="708B621A"/>
    <w:rsid w:val="70974302"/>
    <w:rsid w:val="709A09DC"/>
    <w:rsid w:val="70AB34C3"/>
    <w:rsid w:val="70BA6801"/>
    <w:rsid w:val="70C06E91"/>
    <w:rsid w:val="70C237BF"/>
    <w:rsid w:val="70EA602D"/>
    <w:rsid w:val="70F06D53"/>
    <w:rsid w:val="71015159"/>
    <w:rsid w:val="71397B30"/>
    <w:rsid w:val="71425031"/>
    <w:rsid w:val="71470872"/>
    <w:rsid w:val="717359AE"/>
    <w:rsid w:val="71911EDE"/>
    <w:rsid w:val="719B0FFC"/>
    <w:rsid w:val="71C37B46"/>
    <w:rsid w:val="71F23380"/>
    <w:rsid w:val="720575C6"/>
    <w:rsid w:val="721F771E"/>
    <w:rsid w:val="72202D71"/>
    <w:rsid w:val="72463BAF"/>
    <w:rsid w:val="7264098C"/>
    <w:rsid w:val="72851B6F"/>
    <w:rsid w:val="728A5BCB"/>
    <w:rsid w:val="72981C28"/>
    <w:rsid w:val="729E397A"/>
    <w:rsid w:val="729E6886"/>
    <w:rsid w:val="72A70439"/>
    <w:rsid w:val="72B0462A"/>
    <w:rsid w:val="72D70F9E"/>
    <w:rsid w:val="72D811C1"/>
    <w:rsid w:val="72F21870"/>
    <w:rsid w:val="734F51F0"/>
    <w:rsid w:val="73741C7A"/>
    <w:rsid w:val="737D2537"/>
    <w:rsid w:val="737E6AC1"/>
    <w:rsid w:val="739F4EC4"/>
    <w:rsid w:val="73BC4239"/>
    <w:rsid w:val="73C833BE"/>
    <w:rsid w:val="73E5063C"/>
    <w:rsid w:val="73EB6942"/>
    <w:rsid w:val="73F67DED"/>
    <w:rsid w:val="740F046A"/>
    <w:rsid w:val="74142183"/>
    <w:rsid w:val="742657B2"/>
    <w:rsid w:val="74535563"/>
    <w:rsid w:val="74580F95"/>
    <w:rsid w:val="746D0255"/>
    <w:rsid w:val="747B023E"/>
    <w:rsid w:val="74854864"/>
    <w:rsid w:val="74BB5043"/>
    <w:rsid w:val="754428AC"/>
    <w:rsid w:val="754E39BD"/>
    <w:rsid w:val="756D6C10"/>
    <w:rsid w:val="75953D94"/>
    <w:rsid w:val="75B463F0"/>
    <w:rsid w:val="75BF05E8"/>
    <w:rsid w:val="75E74A69"/>
    <w:rsid w:val="76194B9D"/>
    <w:rsid w:val="761D5978"/>
    <w:rsid w:val="76237992"/>
    <w:rsid w:val="762745A1"/>
    <w:rsid w:val="763F0039"/>
    <w:rsid w:val="76AF6BC3"/>
    <w:rsid w:val="76CD6A80"/>
    <w:rsid w:val="76D10415"/>
    <w:rsid w:val="76D54DB6"/>
    <w:rsid w:val="76FB5725"/>
    <w:rsid w:val="770A1D9C"/>
    <w:rsid w:val="770F1607"/>
    <w:rsid w:val="7713420B"/>
    <w:rsid w:val="77261F4E"/>
    <w:rsid w:val="772959EA"/>
    <w:rsid w:val="773261BA"/>
    <w:rsid w:val="774C11FA"/>
    <w:rsid w:val="774E58B8"/>
    <w:rsid w:val="77686062"/>
    <w:rsid w:val="77A076EB"/>
    <w:rsid w:val="77AB7782"/>
    <w:rsid w:val="77CA5B3C"/>
    <w:rsid w:val="77D10778"/>
    <w:rsid w:val="77E267E1"/>
    <w:rsid w:val="78073CE8"/>
    <w:rsid w:val="78205B9F"/>
    <w:rsid w:val="78593294"/>
    <w:rsid w:val="78697200"/>
    <w:rsid w:val="787804F2"/>
    <w:rsid w:val="788D5CD3"/>
    <w:rsid w:val="788E4D5C"/>
    <w:rsid w:val="78B16022"/>
    <w:rsid w:val="78B32515"/>
    <w:rsid w:val="78BD33F7"/>
    <w:rsid w:val="78D448E5"/>
    <w:rsid w:val="78E94A6F"/>
    <w:rsid w:val="78EA61AB"/>
    <w:rsid w:val="7907385D"/>
    <w:rsid w:val="79267777"/>
    <w:rsid w:val="793B1FE8"/>
    <w:rsid w:val="79432116"/>
    <w:rsid w:val="795274F7"/>
    <w:rsid w:val="795A7AD5"/>
    <w:rsid w:val="79662D5D"/>
    <w:rsid w:val="798E1C9A"/>
    <w:rsid w:val="79922373"/>
    <w:rsid w:val="799A33E0"/>
    <w:rsid w:val="79BE556D"/>
    <w:rsid w:val="79C94CF2"/>
    <w:rsid w:val="79CC4059"/>
    <w:rsid w:val="79E618FC"/>
    <w:rsid w:val="79FE4B87"/>
    <w:rsid w:val="7A0C42F3"/>
    <w:rsid w:val="7A2261DE"/>
    <w:rsid w:val="7A3124EA"/>
    <w:rsid w:val="7A344702"/>
    <w:rsid w:val="7A6163E8"/>
    <w:rsid w:val="7A781AEA"/>
    <w:rsid w:val="7A80068E"/>
    <w:rsid w:val="7A997C79"/>
    <w:rsid w:val="7A9B002A"/>
    <w:rsid w:val="7AA90F75"/>
    <w:rsid w:val="7AB13EB4"/>
    <w:rsid w:val="7AB958C6"/>
    <w:rsid w:val="7ABC233B"/>
    <w:rsid w:val="7AC7704F"/>
    <w:rsid w:val="7ACD2FD1"/>
    <w:rsid w:val="7ACE5F69"/>
    <w:rsid w:val="7AD6738B"/>
    <w:rsid w:val="7AED4088"/>
    <w:rsid w:val="7AF3219E"/>
    <w:rsid w:val="7B1153DE"/>
    <w:rsid w:val="7B16551B"/>
    <w:rsid w:val="7B495298"/>
    <w:rsid w:val="7B4B78DF"/>
    <w:rsid w:val="7B5D3B21"/>
    <w:rsid w:val="7B685A43"/>
    <w:rsid w:val="7B6C6D60"/>
    <w:rsid w:val="7B705A79"/>
    <w:rsid w:val="7B7F1875"/>
    <w:rsid w:val="7B816C73"/>
    <w:rsid w:val="7B901A30"/>
    <w:rsid w:val="7BA74B17"/>
    <w:rsid w:val="7BCD3400"/>
    <w:rsid w:val="7BF7695B"/>
    <w:rsid w:val="7BFE6153"/>
    <w:rsid w:val="7C072C1B"/>
    <w:rsid w:val="7C111E7B"/>
    <w:rsid w:val="7C1317BF"/>
    <w:rsid w:val="7C373F0D"/>
    <w:rsid w:val="7C543DDA"/>
    <w:rsid w:val="7C6441E4"/>
    <w:rsid w:val="7C674D55"/>
    <w:rsid w:val="7C6A445F"/>
    <w:rsid w:val="7C936C39"/>
    <w:rsid w:val="7CA62338"/>
    <w:rsid w:val="7CB16FB7"/>
    <w:rsid w:val="7CDF7245"/>
    <w:rsid w:val="7CF27BE9"/>
    <w:rsid w:val="7D3F094A"/>
    <w:rsid w:val="7D531EAA"/>
    <w:rsid w:val="7D5628CC"/>
    <w:rsid w:val="7D6F5455"/>
    <w:rsid w:val="7D7103AC"/>
    <w:rsid w:val="7D782470"/>
    <w:rsid w:val="7D884A65"/>
    <w:rsid w:val="7D8E4091"/>
    <w:rsid w:val="7D8F331A"/>
    <w:rsid w:val="7DA86790"/>
    <w:rsid w:val="7DBD5DF9"/>
    <w:rsid w:val="7DFB3B9C"/>
    <w:rsid w:val="7DFE12BE"/>
    <w:rsid w:val="7E174082"/>
    <w:rsid w:val="7E1B1853"/>
    <w:rsid w:val="7E1C74A4"/>
    <w:rsid w:val="7E383618"/>
    <w:rsid w:val="7E4335F9"/>
    <w:rsid w:val="7E6953C1"/>
    <w:rsid w:val="7E7176C6"/>
    <w:rsid w:val="7E7B1124"/>
    <w:rsid w:val="7EBC74E3"/>
    <w:rsid w:val="7ED82232"/>
    <w:rsid w:val="7EED43EF"/>
    <w:rsid w:val="7F41518F"/>
    <w:rsid w:val="7F720F66"/>
    <w:rsid w:val="7F734EA2"/>
    <w:rsid w:val="7F787AA7"/>
    <w:rsid w:val="7F8742CF"/>
    <w:rsid w:val="7F965DE0"/>
    <w:rsid w:val="7F9B730D"/>
    <w:rsid w:val="7F9C2285"/>
    <w:rsid w:val="7FAF02D0"/>
    <w:rsid w:val="7FB30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keepNext/>
      <w:keepLines/>
      <w:spacing w:before="300" w:after="300"/>
      <w:ind w:firstLine="0" w:firstLineChars="0"/>
      <w:outlineLvl w:val="0"/>
    </w:pPr>
    <w:rPr>
      <w:rFonts w:ascii="宋体" w:hAnsi="宋体" w:eastAsia="黑体"/>
      <w:b/>
      <w:bCs/>
      <w:kern w:val="44"/>
      <w:sz w:val="44"/>
      <w:szCs w:val="44"/>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spacing w:line="500" w:lineRule="exact"/>
      <w:ind w:firstLine="420"/>
    </w:pPr>
    <w:rPr>
      <w:rFonts w:eastAsia="宋体"/>
      <w:sz w:val="28"/>
    </w:rPr>
  </w:style>
  <w:style w:type="paragraph" w:styleId="3">
    <w:name w:val="Body Text"/>
    <w:basedOn w:val="1"/>
    <w:next w:val="2"/>
    <w:qFormat/>
    <w:uiPriority w:val="1"/>
    <w:rPr>
      <w:rFonts w:ascii="宋体" w:hAnsi="宋体" w:eastAsia="宋体" w:cs="宋体"/>
      <w:sz w:val="32"/>
      <w:szCs w:val="32"/>
      <w:lang w:val="zh-CN" w:eastAsia="zh-CN" w:bidi="zh-CN"/>
    </w:rPr>
  </w:style>
  <w:style w:type="paragraph" w:styleId="7">
    <w:name w:val="annotation text"/>
    <w:basedOn w:val="1"/>
    <w:qFormat/>
    <w:uiPriority w:val="0"/>
    <w:pPr>
      <w:jc w:val="left"/>
    </w:pPr>
  </w:style>
  <w:style w:type="paragraph" w:styleId="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styleId="14">
    <w:name w:val="List Paragraph"/>
    <w:basedOn w:val="1"/>
    <w:qFormat/>
    <w:uiPriority w:val="34"/>
    <w:pPr>
      <w:ind w:firstLine="420"/>
    </w:pPr>
  </w:style>
  <w:style w:type="paragraph" w:customStyle="1" w:styleId="15">
    <w:name w:val="Body text|1"/>
    <w:basedOn w:val="1"/>
    <w:qFormat/>
    <w:uiPriority w:val="0"/>
    <w:pPr>
      <w:widowControl w:val="0"/>
      <w:shd w:val="clear" w:color="auto" w:fill="auto"/>
      <w:spacing w:line="382"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2021-03-17T12:00:00Z</dcterms:created>
  <dc:creator>Administrator</dc:creator>
  <cp:lastModifiedBy>Seven</cp:lastModifiedBy>
  <cp:lastPrinted>2021-09-22T07:12:00Z</cp:lastPrinted>
  <dcterms:modified xsi:type="dcterms:W3CDTF">2022-02-13T01:20:11Z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1366BD70918243D795C957038250728D</vt:lpwstr>
  </property>
</Properties>
</file>