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color w:val="000000"/>
          <w:kern w:val="0"/>
          <w:sz w:val="36"/>
          <w:szCs w:val="36"/>
        </w:rPr>
      </w:pPr>
      <w:r>
        <w:rPr>
          <w:rFonts w:hint="eastAsia"/>
          <w:b/>
          <w:sz w:val="36"/>
          <w:szCs w:val="36"/>
        </w:rPr>
        <w:t>关于公开征求《平阳县鳌江镇</w:t>
      </w:r>
      <w:r>
        <w:rPr>
          <w:rFonts w:hint="eastAsia"/>
          <w:b/>
          <w:sz w:val="36"/>
          <w:szCs w:val="36"/>
          <w:lang w:eastAsia="zh-CN"/>
        </w:rPr>
        <w:t>前进村</w:t>
      </w:r>
      <w:r>
        <w:rPr>
          <w:rFonts w:hint="eastAsia"/>
          <w:b/>
          <w:sz w:val="36"/>
          <w:szCs w:val="36"/>
        </w:rPr>
        <w:t>城中村改造土地和房屋征收补偿实施细则</w:t>
      </w:r>
      <w:r>
        <w:rPr>
          <w:rFonts w:hint="eastAsia"/>
          <w:b/>
          <w:sz w:val="36"/>
          <w:szCs w:val="36"/>
          <w:lang w:eastAsia="zh-CN"/>
        </w:rPr>
        <w:t>（征求意见稿）</w:t>
      </w:r>
      <w:r>
        <w:rPr>
          <w:rFonts w:hint="eastAsia" w:ascii="宋体" w:hAnsi="宋体" w:cs="宋体"/>
          <w:b/>
          <w:color w:val="000000"/>
          <w:kern w:val="0"/>
          <w:sz w:val="36"/>
          <w:szCs w:val="36"/>
        </w:rPr>
        <w:t>》的</w:t>
      </w:r>
      <w:r>
        <w:rPr>
          <w:rFonts w:hint="eastAsia"/>
          <w:b/>
          <w:sz w:val="36"/>
          <w:szCs w:val="36"/>
        </w:rPr>
        <w:t>意见</w:t>
      </w:r>
    </w:p>
    <w:p>
      <w:pPr>
        <w:rPr>
          <w:rFonts w:hint="eastAsia" w:ascii="仿宋_GB2312" w:eastAsia="仿宋_GB2312"/>
          <w:sz w:val="32"/>
          <w:szCs w:val="32"/>
        </w:rPr>
      </w:pP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为加快推进平阳</w:t>
      </w:r>
      <w:r>
        <w:rPr>
          <w:rFonts w:hint="eastAsia" w:ascii="仿宋_GB2312" w:hAnsi="宋体" w:eastAsia="仿宋_GB2312"/>
          <w:sz w:val="32"/>
          <w:szCs w:val="32"/>
          <w:lang w:eastAsia="zh-CN"/>
        </w:rPr>
        <w:t>县</w:t>
      </w:r>
      <w:r>
        <w:rPr>
          <w:rFonts w:hint="eastAsia" w:ascii="仿宋_GB2312" w:hAnsi="宋体" w:eastAsia="仿宋_GB2312"/>
          <w:sz w:val="32"/>
          <w:szCs w:val="32"/>
        </w:rPr>
        <w:t>城市化进程，顺利开展</w:t>
      </w:r>
      <w:r>
        <w:rPr>
          <w:rFonts w:hint="eastAsia" w:ascii="仿宋_GB2312" w:hAnsi="宋体" w:eastAsia="仿宋_GB2312"/>
          <w:sz w:val="32"/>
          <w:szCs w:val="32"/>
          <w:lang w:eastAsia="zh-CN"/>
        </w:rPr>
        <w:t>鳌江</w:t>
      </w:r>
      <w:r>
        <w:rPr>
          <w:rFonts w:hint="eastAsia" w:ascii="仿宋_GB2312" w:hAnsi="宋体" w:eastAsia="仿宋_GB2312"/>
          <w:sz w:val="32"/>
          <w:szCs w:val="32"/>
        </w:rPr>
        <w:t>镇城中村改造工作</w:t>
      </w:r>
      <w:r>
        <w:rPr>
          <w:rFonts w:hint="eastAsia" w:ascii="仿宋_GB2312" w:eastAsia="仿宋_GB2312"/>
          <w:sz w:val="32"/>
          <w:szCs w:val="32"/>
        </w:rPr>
        <w:t>，现公开征求《</w:t>
      </w:r>
      <w:r>
        <w:rPr>
          <w:rFonts w:hint="eastAsia" w:ascii="仿宋_GB2312" w:hAnsi="宋体" w:eastAsia="仿宋_GB2312"/>
          <w:spacing w:val="8"/>
          <w:sz w:val="32"/>
          <w:szCs w:val="32"/>
        </w:rPr>
        <w:t>平阳县鳌江镇</w:t>
      </w:r>
      <w:r>
        <w:rPr>
          <w:rFonts w:hint="eastAsia" w:ascii="仿宋_GB2312" w:hAnsi="宋体" w:eastAsia="仿宋_GB2312"/>
          <w:spacing w:val="8"/>
          <w:sz w:val="32"/>
          <w:szCs w:val="32"/>
          <w:lang w:eastAsia="zh-CN"/>
        </w:rPr>
        <w:t>前进</w:t>
      </w:r>
      <w:r>
        <w:rPr>
          <w:rFonts w:hint="eastAsia" w:ascii="仿宋_GB2312" w:hAnsi="宋体" w:eastAsia="仿宋_GB2312"/>
          <w:sz w:val="32"/>
          <w:szCs w:val="32"/>
        </w:rPr>
        <w:t>村</w:t>
      </w:r>
      <w:r>
        <w:rPr>
          <w:rFonts w:hint="eastAsia" w:ascii="仿宋_GB2312" w:hAnsi="宋体" w:eastAsia="仿宋_GB2312"/>
          <w:spacing w:val="8"/>
          <w:sz w:val="32"/>
          <w:szCs w:val="32"/>
        </w:rPr>
        <w:t>城中村改造土地和房屋征收补偿实施细则</w:t>
      </w:r>
      <w:r>
        <w:rPr>
          <w:rFonts w:hint="eastAsia" w:ascii="仿宋_GB2312" w:hAnsi="宋体" w:eastAsia="仿宋_GB2312"/>
          <w:spacing w:val="8"/>
          <w:sz w:val="32"/>
          <w:szCs w:val="32"/>
          <w:lang w:eastAsia="zh-CN"/>
        </w:rPr>
        <w:t>（征求意见稿）</w:t>
      </w:r>
      <w:r>
        <w:rPr>
          <w:rFonts w:hint="eastAsia" w:ascii="仿宋_GB2312" w:eastAsia="仿宋_GB2312"/>
          <w:sz w:val="32"/>
          <w:szCs w:val="32"/>
        </w:rPr>
        <w:t>》的意见，如有不同意见，请在30日内以书面形式反馈至平阳县人民政府房屋征收管理办公室。（传真：0577-63889036）</w:t>
      </w:r>
    </w:p>
    <w:p>
      <w:pPr>
        <w:spacing w:line="560" w:lineRule="exact"/>
        <w:ind w:firstLine="646"/>
        <w:rPr>
          <w:rFonts w:hint="eastAsia" w:ascii="仿宋_GB2312" w:eastAsia="仿宋_GB2312"/>
          <w:sz w:val="32"/>
          <w:szCs w:val="32"/>
        </w:rPr>
      </w:pPr>
    </w:p>
    <w:p>
      <w:pPr>
        <w:spacing w:line="560" w:lineRule="exact"/>
        <w:ind w:firstLine="646"/>
        <w:rPr>
          <w:rFonts w:hint="eastAsia" w:ascii="仿宋_GB2312" w:eastAsia="仿宋_GB2312"/>
          <w:sz w:val="32"/>
          <w:szCs w:val="32"/>
        </w:rPr>
      </w:pPr>
    </w:p>
    <w:p>
      <w:pPr>
        <w:spacing w:line="560" w:lineRule="exact"/>
        <w:ind w:firstLine="646"/>
        <w:rPr>
          <w:rFonts w:hint="eastAsia" w:ascii="仿宋_GB2312" w:eastAsia="仿宋_GB2312"/>
          <w:sz w:val="32"/>
          <w:szCs w:val="32"/>
        </w:rPr>
      </w:pPr>
    </w:p>
    <w:p>
      <w:pPr>
        <w:spacing w:line="560" w:lineRule="exact"/>
        <w:ind w:firstLine="3040" w:firstLineChars="950"/>
        <w:rPr>
          <w:rFonts w:hint="eastAsia" w:ascii="仿宋_GB2312" w:eastAsia="仿宋_GB2312"/>
          <w:sz w:val="32"/>
          <w:szCs w:val="32"/>
        </w:rPr>
      </w:pPr>
      <w:r>
        <w:rPr>
          <w:rFonts w:hint="eastAsia" w:ascii="仿宋_GB2312" w:eastAsia="仿宋_GB2312"/>
          <w:sz w:val="32"/>
          <w:szCs w:val="32"/>
        </w:rPr>
        <w:t>平阳县人民政府房屋征收管理办公室</w:t>
      </w:r>
    </w:p>
    <w:p>
      <w:pPr>
        <w:spacing w:line="560" w:lineRule="exact"/>
        <w:ind w:firstLine="646"/>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15</w:t>
      </w:r>
      <w:bookmarkStart w:id="0" w:name="_GoBack"/>
      <w:bookmarkEnd w:id="0"/>
      <w:r>
        <w:rPr>
          <w:rFonts w:hint="eastAsia" w:ascii="仿宋_GB2312" w:eastAsia="仿宋_GB2312"/>
          <w:sz w:val="32"/>
          <w:szCs w:val="32"/>
        </w:rPr>
        <w:t>日</w:t>
      </w:r>
    </w:p>
    <w:p/>
    <w:p/>
    <w:p/>
    <w:p/>
    <w:p/>
    <w:p/>
    <w:p/>
    <w:p/>
    <w:p/>
    <w:p/>
    <w:p/>
    <w:p/>
    <w:p/>
    <w:p/>
    <w:p/>
    <w:p/>
    <w:p/>
    <w:p/>
    <w:p/>
    <w:p/>
    <w:p/>
    <w:p>
      <w:pPr>
        <w:snapToGrid w:val="0"/>
        <w:spacing w:line="600" w:lineRule="exact"/>
        <w:jc w:val="center"/>
        <w:rPr>
          <w:rFonts w:hint="eastAsia" w:ascii="方正小标宋简体" w:hAnsi="方正小标宋简体" w:eastAsia="方正小标宋简体" w:cs="方正小标宋简体"/>
          <w:color w:val="000000"/>
          <w:sz w:val="44"/>
          <w:lang w:bidi="ar"/>
        </w:rPr>
      </w:pPr>
      <w:r>
        <w:rPr>
          <w:rFonts w:hint="eastAsia" w:ascii="方正小标宋简体" w:hAnsi="方正小标宋简体" w:eastAsia="方正小标宋简体" w:cs="方正小标宋简体"/>
          <w:color w:val="000000"/>
          <w:sz w:val="44"/>
          <w:lang w:bidi="ar"/>
        </w:rPr>
        <w:t>平阳县</w:t>
      </w:r>
      <w:r>
        <w:rPr>
          <w:rFonts w:hint="eastAsia" w:ascii="方正小标宋简体" w:hAnsi="仿宋_GB2312" w:eastAsia="方正小标宋简体" w:cs="仿宋_GB2312"/>
          <w:sz w:val="44"/>
          <w:szCs w:val="44"/>
        </w:rPr>
        <w:t>鳌江镇前进村</w:t>
      </w:r>
      <w:r>
        <w:rPr>
          <w:rFonts w:hint="eastAsia" w:ascii="方正小标宋简体" w:hAnsi="方正小标宋简体" w:eastAsia="方正小标宋简体" w:cs="方正小标宋简体"/>
          <w:color w:val="000000"/>
          <w:sz w:val="44"/>
          <w:lang w:bidi="ar"/>
        </w:rPr>
        <w:t>城中村改造土地和</w:t>
      </w:r>
    </w:p>
    <w:p>
      <w:pPr>
        <w:snapToGrid w:val="0"/>
        <w:spacing w:line="600" w:lineRule="exact"/>
        <w:jc w:val="center"/>
        <w:rPr>
          <w:rFonts w:hint="eastAsia" w:ascii="方正小标宋简体" w:hAnsi="方正小标宋简体" w:eastAsia="方正小标宋简体" w:cs="方正小标宋简体"/>
          <w:color w:val="000000"/>
          <w:sz w:val="44"/>
          <w:lang w:bidi="ar"/>
        </w:rPr>
      </w:pPr>
      <w:r>
        <w:rPr>
          <w:rFonts w:hint="eastAsia" w:ascii="方正小标宋简体" w:hAnsi="方正小标宋简体" w:eastAsia="方正小标宋简体" w:cs="方正小标宋简体"/>
          <w:color w:val="000000"/>
          <w:sz w:val="44"/>
          <w:lang w:bidi="ar"/>
        </w:rPr>
        <w:t>房屋征收补偿实施细则（</w:t>
      </w:r>
      <w:r>
        <w:rPr>
          <w:rFonts w:hint="eastAsia" w:ascii="方正小标宋简体" w:hAnsi="方正小标宋简体" w:eastAsia="方正小标宋简体" w:cs="方正小标宋简体"/>
          <w:color w:val="000000"/>
          <w:sz w:val="44"/>
          <w:lang w:eastAsia="zh-CN" w:bidi="ar"/>
        </w:rPr>
        <w:t>征求意见</w:t>
      </w:r>
      <w:r>
        <w:rPr>
          <w:rFonts w:hint="eastAsia" w:ascii="方正小标宋简体" w:hAnsi="方正小标宋简体" w:eastAsia="方正小标宋简体" w:cs="方正小标宋简体"/>
          <w:color w:val="000000"/>
          <w:sz w:val="44"/>
          <w:lang w:bidi="ar"/>
        </w:rPr>
        <w:t>稿）</w:t>
      </w:r>
    </w:p>
    <w:p>
      <w:pPr>
        <w:spacing w:line="600" w:lineRule="exact"/>
        <w:jc w:val="center"/>
        <w:rPr>
          <w:rFonts w:ascii="方正小标宋简体" w:eastAsia="方正小标宋简体"/>
          <w:sz w:val="44"/>
          <w:szCs w:val="44"/>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为推进</w:t>
      </w:r>
      <w:r>
        <w:rPr>
          <w:rFonts w:hint="eastAsia" w:ascii="仿宋_GB2312" w:eastAsia="仿宋_GB2312"/>
          <w:bCs/>
          <w:sz w:val="32"/>
          <w:szCs w:val="32"/>
        </w:rPr>
        <w:t>平阳县</w:t>
      </w:r>
      <w:r>
        <w:rPr>
          <w:rFonts w:hint="eastAsia" w:ascii="仿宋_GB2312" w:eastAsia="仿宋_GB2312"/>
          <w:sz w:val="32"/>
          <w:szCs w:val="32"/>
        </w:rPr>
        <w:t>鳌江镇前进村城中村改造工作顺利实施，保障被征收人的合法权益，</w:t>
      </w:r>
      <w:r>
        <w:rPr>
          <w:rFonts w:hint="eastAsia" w:ascii="仿宋_GB2312" w:hAnsi="仿宋_GB2312" w:eastAsia="仿宋_GB2312" w:cs="仿宋_GB2312"/>
          <w:sz w:val="32"/>
          <w:szCs w:val="32"/>
        </w:rPr>
        <w:t>根据土地及房屋征收补偿相关法律法规和《</w:t>
      </w:r>
      <w:r>
        <w:rPr>
          <w:rFonts w:hint="eastAsia" w:ascii="仿宋_GB2312" w:eastAsia="仿宋_GB2312"/>
          <w:sz w:val="32"/>
          <w:szCs w:val="32"/>
        </w:rPr>
        <w:t>平阳县人民政府关于印发</w:t>
      </w:r>
      <w:r>
        <w:rPr>
          <w:rFonts w:hint="eastAsia" w:ascii="仿宋_GB2312" w:hAnsi="仿宋_GB2312" w:eastAsia="仿宋_GB2312" w:cs="仿宋_GB2312"/>
          <w:sz w:val="32"/>
          <w:szCs w:val="32"/>
        </w:rPr>
        <w:t>平阳县征收农民集体所有土地管理办法的通知》（平政发〔2014〕208号）、《</w:t>
      </w:r>
      <w:r>
        <w:rPr>
          <w:rFonts w:hint="eastAsia" w:ascii="仿宋_GB2312" w:eastAsia="仿宋_GB2312"/>
          <w:sz w:val="32"/>
          <w:szCs w:val="32"/>
        </w:rPr>
        <w:t>县委办公室 县政府办公室关于印发</w:t>
      </w:r>
      <w:r>
        <w:rPr>
          <w:rFonts w:hint="eastAsia" w:ascii="仿宋_GB2312" w:hAnsi="仿宋_GB2312" w:eastAsia="仿宋_GB2312" w:cs="仿宋_GB2312"/>
          <w:sz w:val="32"/>
          <w:szCs w:val="32"/>
        </w:rPr>
        <w:t>平阳县重点工程建设房屋征收城中村改造农房集聚建设补偿暂行办法的通知》（平委办〔2012〕179号）、《</w:t>
      </w:r>
      <w:r>
        <w:rPr>
          <w:rFonts w:hint="eastAsia" w:ascii="仿宋_GB2312" w:eastAsia="仿宋_GB2312"/>
          <w:color w:val="000000"/>
          <w:sz w:val="32"/>
          <w:szCs w:val="32"/>
        </w:rPr>
        <w:t>平阳县人民政府办公室关于印发</w:t>
      </w:r>
      <w:r>
        <w:rPr>
          <w:rFonts w:hint="eastAsia" w:ascii="仿宋_GB2312" w:hAnsi="仿宋_GB2312" w:eastAsia="仿宋_GB2312" w:cs="仿宋_GB2312"/>
          <w:sz w:val="32"/>
          <w:szCs w:val="32"/>
        </w:rPr>
        <w:t>平阳县住宅房屋征收市场化安置实施办法（试行）的通知》（平政办〔2016〕28号）等文件精神，结合项目实际，特制定本实施细则。</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一、本实施细则适用于平阳县鳌江镇前进村城中村改造项目土地和房屋征收补偿（具体以规划红线为准）。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二、鳌江镇人民政府受平阳县人民政府委托，作为征收实施单位，统一组织实施平阳县鳌江镇前进村城中村改造项目土地和房屋征收补偿工作。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本实施细则所称的被征收人指平阳县鳌江镇前进村城中村改造范围内的集体土地所有权人、土地使用权人和房屋所有权人。</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三、集体土地征收和青苗补偿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集体土地征收和青苗补偿按《</w:t>
      </w:r>
      <w:r>
        <w:rPr>
          <w:rFonts w:hint="eastAsia" w:ascii="仿宋_GB2312" w:eastAsia="仿宋_GB2312"/>
          <w:sz w:val="32"/>
          <w:szCs w:val="32"/>
        </w:rPr>
        <w:t>平阳县人民政府关于印发</w:t>
      </w:r>
      <w:r>
        <w:rPr>
          <w:rFonts w:hint="eastAsia" w:ascii="仿宋_GB2312" w:hAnsi="仿宋_GB2312" w:eastAsia="仿宋_GB2312" w:cs="仿宋_GB2312"/>
          <w:sz w:val="32"/>
          <w:szCs w:val="32"/>
        </w:rPr>
        <w:t>平阳县征收农民集体所有土地管理办法的通知》（平政发〔2014〕208号）规定执行。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四、房屋征收补偿的一般规定</w:t>
      </w:r>
    </w:p>
    <w:p>
      <w:pPr>
        <w:spacing w:line="54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rPr>
        <w:t>被征收房屋已取得《房屋所有权证》《土地使用权证》或《不动产权证》以及经认定后可参照合法的，应当按照本实施细则的规定实施征收补偿。</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（二）被征收人可以选择货币补偿，也可以选择产权调换或产权调换市场化安置（包括房票兑现）</w:t>
      </w:r>
      <w:r>
        <w:rPr>
          <w:rFonts w:hint="eastAsia" w:ascii="仿宋_GB2312" w:eastAsia="仿宋_GB2312"/>
          <w:sz w:val="32"/>
          <w:szCs w:val="32"/>
        </w:rPr>
        <w:t>。</w:t>
      </w:r>
      <w:r>
        <w:rPr>
          <w:rFonts w:hint="eastAsia" w:ascii="仿宋_GB2312" w:hAnsi="仿宋_GB2312" w:eastAsia="仿宋_GB2312" w:cs="仿宋_GB2312"/>
          <w:sz w:val="32"/>
          <w:szCs w:val="32"/>
        </w:rPr>
        <w:t xml:space="preserve">被征收人不论选择何种补偿方式，必须在签订协议后，按照征收实施单位确定的搬迁腾空期限，将被征收房屋腾空并移交征收实施单位。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（三）被征收房屋的建筑面积和建筑占地面积以《房屋所有权证》或《不动产权证》记载为准。被征收房屋的土地使用面积以《土地使用权证》或《不动产权证》记载为准。</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被征收的房屋前后余地（杂地、灰坦等）、简易棚用地、构筑物用地等，给予一次性货币补偿。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五、未登记房屋的认定及处置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（一）有下列情形之一，因历史原因审批手续不完整而未登记的房屋，经认定后可参照合法房屋，予以补偿安置：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1.1987年1月1日《中华人民共和国土地管理法》实施前已经建成的房屋。</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2.1987年1月1日至1998年12月31日之间取得乡镇以上人民政府或县级以上人民政府土地、规划、建设部门批准文件的农村村民住宅房屋。</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（二）未登记的下列被征收房屋，由鳌江镇人民政府组织国土资源、住建部门按程序认定并公示后，予以确认是否给予补偿安置。</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征收1987年1月1日至1998年12月31日之间建造但未办理合法建设手续的违法建筑（具体以1998年航拍图为准），按程序认定并公示后，在规定的期限内签订房屋征收补偿协议并如期腾空交房的，可以参照合法房屋予以补偿安置；未在规定期限内签订协议的，依法无条件拆除。</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征收1999年1月1日至2006年12月31日之间建造但未办理合法建设手续的违法建筑（具体以2006年航拍图为准），不予补偿安置，违法建筑如在规定期限内自行拆除的，按照房屋重置成新标准给予一定的清障费，如在规定期限内未自行拆除的，依法无条件拆除。</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3.2007年1月1日后建造但未办理合法建设手续的违法建筑，一律依法无条件拆除。</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征收1999年1月1日至2006年12月31日之间土地、规划、建设审批手续不齐全的农村村民住宅房屋，在规定期限内签订房屋征收补偿协议并腾空拆除的，可以参照合法房屋予以补偿安置。未在规定期限内签订协议并腾空拆除的，依法无条件拆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六、被征收房屋的货币补偿</w:t>
      </w:r>
    </w:p>
    <w:p>
      <w:pPr>
        <w:tabs>
          <w:tab w:val="left" w:pos="360"/>
        </w:tab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（一）被征收人选择货币补偿的，按照被征收房屋的市场评估价确定货币补偿金额。被征收房屋的市场评估价由具有法定资质的房地产价格评估机构依法评估确定。</w:t>
      </w:r>
    </w:p>
    <w:p>
      <w:pPr>
        <w:tabs>
          <w:tab w:val="left" w:pos="360"/>
        </w:tab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（二）被征收人在规定期限内签订货币补偿协议，腾空房屋并移交给征收实施单位的，经征收实施单位验收合格后30个工作日内一次性付清货币补偿费。</w:t>
      </w:r>
    </w:p>
    <w:p>
      <w:pPr>
        <w:tabs>
          <w:tab w:val="left" w:pos="360"/>
        </w:tab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（三）选择货币补偿的被征收人按规定领取货币补偿费后，不再享有产权调换权利及产权调换市场化安置的权利。</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七、被征收房屋的产权调换</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（一）被征收人选择产权调换的，被征收房屋根据合法或可参照合法建筑面积按房屋重置价、成新率、室内装饰，经评估后给予补偿。</w:t>
      </w:r>
    </w:p>
    <w:p>
      <w:pPr>
        <w:spacing w:line="54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应安置面积按被征收主房合法或可参照合法建筑占地面积的4倍，被征收附属房合法或可参照合法建筑占地面积的2倍给予安排新建套房建筑面积；</w:t>
      </w:r>
      <w:r>
        <w:rPr>
          <w:rFonts w:hint="eastAsia" w:ascii="仿宋_GB2312" w:hAnsi="仿宋_GB2312" w:eastAsia="仿宋_GB2312" w:cs="仿宋_GB2312"/>
          <w:bCs/>
          <w:sz w:val="32"/>
          <w:szCs w:val="32"/>
        </w:rPr>
        <w:t>或者按其合法建筑面积计算应安置面积。</w:t>
      </w:r>
      <w:r>
        <w:rPr>
          <w:rFonts w:hint="eastAsia" w:ascii="仿宋_GB2312" w:hAnsi="仿宋_GB2312" w:eastAsia="仿宋_GB2312" w:cs="仿宋_GB2312"/>
          <w:sz w:val="32"/>
          <w:szCs w:val="32"/>
        </w:rPr>
        <w:t>应安置面积价格按照具体安置房源安置办法执行。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（三）安置房之间（按就近的面积进行套型选择后）多余的安置建筑面积经鳌江镇人民政府审核同意后，可相互调剂整合成套。</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（四）因安置房套型设计原因需增购的，</w:t>
      </w:r>
      <w:r>
        <w:rPr>
          <w:rFonts w:hint="eastAsia" w:ascii="仿宋_GB2312" w:hAnsi="仿宋_GB2312" w:eastAsia="仿宋_GB2312" w:cs="仿宋_GB2312"/>
          <w:color w:val="000000"/>
          <w:sz w:val="32"/>
          <w:szCs w:val="32"/>
        </w:rPr>
        <w:t>增购面积原则上不得大于20平方米，</w:t>
      </w:r>
      <w:r>
        <w:rPr>
          <w:rFonts w:hint="eastAsia" w:ascii="仿宋_GB2312" w:hAnsi="仿宋_GB2312" w:eastAsia="仿宋_GB2312" w:cs="仿宋_GB2312"/>
          <w:sz w:val="32"/>
          <w:szCs w:val="32"/>
        </w:rPr>
        <w:t>其价格按具体安置房源安置办法执行。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八、被征收房屋的产权调换市场化</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（一）被征收人选择产权调换市场化安置的，参照《</w:t>
      </w:r>
      <w:r>
        <w:rPr>
          <w:rFonts w:hint="eastAsia" w:ascii="仿宋_GB2312" w:eastAsia="仿宋_GB2312"/>
          <w:color w:val="000000"/>
          <w:sz w:val="32"/>
          <w:szCs w:val="32"/>
        </w:rPr>
        <w:t>平阳县人民政府办公室关于印发</w:t>
      </w:r>
      <w:r>
        <w:rPr>
          <w:rFonts w:hint="eastAsia" w:ascii="仿宋_GB2312" w:hAnsi="仿宋_GB2312" w:eastAsia="仿宋_GB2312" w:cs="仿宋_GB2312"/>
          <w:sz w:val="32"/>
          <w:szCs w:val="32"/>
        </w:rPr>
        <w:t>平阳县住宅房屋征收市场化安置实施办法（试行）的通知》（平政办〔2016〕28号）执行。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市场化安置包括产权调换市场化安置和房屋安置购房证明书（以下简称房票）兑现两种方式。</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1.被征收人选择产权调换市场化安置的，</w:t>
      </w:r>
      <w:r>
        <w:rPr>
          <w:rFonts w:hint="eastAsia" w:ascii="仿宋_GB2312" w:hAnsi="仿宋_GB2312" w:eastAsia="仿宋_GB2312" w:cs="仿宋_GB2312"/>
          <w:color w:val="000000"/>
          <w:sz w:val="32"/>
          <w:szCs w:val="32"/>
        </w:rPr>
        <w:t>市场化安置房屋货币补偿金额由被征收房屋补偿金额和安置房屋价值金额构成。</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被征收房屋补偿金额按照被征收房屋面积结合房屋重置成新确定。</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安置房屋价值金额按照应安置面积乘以市场化安置货币补偿单价确定。</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市场化安置货币补偿单价根据安置房屋市场基准价扣减房屋综合成本价评估测算，</w:t>
      </w:r>
      <w:r>
        <w:rPr>
          <w:rFonts w:hint="eastAsia" w:ascii="仿宋_GB2312" w:hAnsi="仿宋_GB2312" w:eastAsia="仿宋_GB2312" w:cs="仿宋_GB2312"/>
          <w:sz w:val="32"/>
          <w:szCs w:val="32"/>
        </w:rPr>
        <w:t>标准为1100元/</w:t>
      </w:r>
      <w:r>
        <w:rPr>
          <w:rFonts w:hint="eastAsia" w:ascii="仿宋_GB2312" w:eastAsia="仿宋_GB2312"/>
          <w:color w:val="000000"/>
          <w:sz w:val="32"/>
          <w:szCs w:val="32"/>
        </w:rPr>
        <w:t xml:space="preserve"> m</w:t>
      </w:r>
      <w:r>
        <w:rPr>
          <w:rFonts w:hint="eastAsia" w:ascii="仿宋_GB2312" w:eastAsia="仿宋_GB2312"/>
          <w:color w:val="000000"/>
          <w:sz w:val="32"/>
          <w:szCs w:val="32"/>
          <w:vertAlign w:val="superscript"/>
        </w:rPr>
        <w:t>2</w:t>
      </w:r>
      <w:r>
        <w:rPr>
          <w:rFonts w:hint="eastAsia" w:ascii="仿宋_GB2312" w:hAnsi="仿宋_GB2312" w:eastAsia="仿宋_GB2312" w:cs="仿宋_GB2312"/>
          <w:color w:val="000000"/>
          <w:sz w:val="32"/>
          <w:szCs w:val="32"/>
        </w:rPr>
        <w:t>。</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被征收人选择房票兑现的，具体实施办法根据《鳌江镇棚户区（城中村）改造货币化安置实施办法（试行）》（鳌政发〔2016〕15号）执行。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九、临时安置补助费和搬迁费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（一）临时安置补助费按被征收房屋合法建筑面积每个月8元／</w:t>
      </w:r>
      <w:r>
        <w:rPr>
          <w:rFonts w:hint="eastAsia" w:ascii="仿宋_GB2312" w:eastAsia="仿宋_GB2312"/>
          <w:color w:val="000000"/>
          <w:sz w:val="32"/>
          <w:szCs w:val="32"/>
        </w:rPr>
        <w:t>m</w:t>
      </w:r>
      <w:r>
        <w:rPr>
          <w:rFonts w:hint="eastAsia" w:ascii="仿宋_GB2312" w:eastAsia="仿宋_GB2312"/>
          <w:color w:val="000000"/>
          <w:sz w:val="32"/>
          <w:szCs w:val="32"/>
          <w:vertAlign w:val="superscript"/>
        </w:rPr>
        <w:t>2</w:t>
      </w:r>
      <w:r>
        <w:rPr>
          <w:rFonts w:hint="eastAsia" w:ascii="仿宋_GB2312" w:hAnsi="仿宋_GB2312" w:eastAsia="仿宋_GB2312" w:cs="仿宋_GB2312"/>
          <w:sz w:val="32"/>
          <w:szCs w:val="32"/>
        </w:rPr>
        <w:t>计算。被征收人选择产权调换期房安置的，建设多层、小高层安置房的，过渡期按24个月计算；建设高层安置房的，过渡期按36个月计算；逾期交房的，逾期期间双倍支付临时安置补助费（因不可抗力因素造成逾期的，过渡期顺延）。被征收人选择货币补偿、产权调换市场化安置（包括房票兑现）或现房安置的，过渡期按4个月计算。</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（二）搬迁费补助标准为被征收房屋合法建筑面积5元/</w:t>
      </w:r>
      <w:r>
        <w:rPr>
          <w:rFonts w:hint="eastAsia" w:ascii="仿宋_GB2312" w:eastAsia="仿宋_GB2312"/>
          <w:color w:val="000000"/>
          <w:sz w:val="32"/>
          <w:szCs w:val="32"/>
        </w:rPr>
        <w:t xml:space="preserve"> m</w:t>
      </w:r>
      <w:r>
        <w:rPr>
          <w:rFonts w:hint="eastAsia" w:ascii="仿宋_GB2312" w:eastAsia="仿宋_GB2312"/>
          <w:color w:val="000000"/>
          <w:sz w:val="32"/>
          <w:szCs w:val="32"/>
          <w:vertAlign w:val="superscript"/>
        </w:rPr>
        <w:t>2</w:t>
      </w:r>
      <w:r>
        <w:rPr>
          <w:rFonts w:hint="eastAsia" w:ascii="仿宋_GB2312" w:hAnsi="仿宋_GB2312" w:eastAsia="仿宋_GB2312" w:cs="仿宋_GB2312"/>
          <w:sz w:val="32"/>
          <w:szCs w:val="32"/>
        </w:rPr>
        <w:t>，不足600元的按600元计算。选择产权调换期房安置的，搬迁费计算两次；选择货币补偿、产权调换市场化安置或现房安置的，搬迁费计算一次。</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十、被征收房屋的价值评估</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（一）征收实施单位和被征收人协商确定具有法定资质的专业房屋评估机构，作为房屋征收补偿的评估单位，依法实施被征收房屋的价值评估。</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（二）房屋评估机构开展评估工作时应结合室内装饰、水电配套和附属物进行综合评估，评估机构评定的结果作为被征收房屋补偿的依据。</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cs="仿宋_GB2312"/>
          <w:sz w:val="32"/>
          <w:szCs w:val="32"/>
          <w:lang w:bidi="ar"/>
        </w:rPr>
        <w:t>评估机构要以户为单位出具评估报告,评估结果要在房屋征收范围内进行公示。被征收人对评定的被征收房屋价值有异议的，可以向房屋评估机构申请复核评估。</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（三）被征收人应当协助注册房地产估价师对被征收房屋进行实地查勘，提供或协助搜集被征收房屋价值评估所必需的资料。</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十一、房屋征收补偿协议的签订</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（一）被征收人应在征收实施单位规定时间内签订房屋征收补偿协议，同时移交房屋、土地权属证件及相关资料，由征收实施单位统一报有关部门注销。</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设有抵押权或租赁关系的房屋，被征收人在</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期限内自行处理抵押权或解除租赁关系后，方可签订</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补偿安置协议。</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（三）征收补偿协议签订后，被征收人应在征收实施单位规定时间内腾空房屋并移交给征收实施单位。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人不论选择何种征收补偿方式，被</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房屋腾空移交</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实施单位后，其房屋以及附属物、构筑物、已作补偿的室内装饰物品等的处分权、拆除责任均属于</w:t>
      </w:r>
      <w:r>
        <w:rPr>
          <w:rFonts w:hint="eastAsia" w:ascii="仿宋_GB2312" w:hAnsi="仿宋_GB2312" w:eastAsia="仿宋_GB2312" w:cs="仿宋_GB2312"/>
          <w:color w:val="000000"/>
          <w:sz w:val="32"/>
          <w:szCs w:val="32"/>
        </w:rPr>
        <w:t>征收实施单位</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十二、安置房建设</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择产权调换的，统一选择安置在鳌江镇钱仓片前进村新钱梅路B04地块。安置房均为公寓式住宅，安置地块的房屋平面布置、层数、建筑密度和容积率均以住建部门审定的为准。安置房用地性质为国有划拨。</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（二）水、电、讯、视等配套管线设施由征收实施单位安装至安置房户外，供被征收人自行报装。</w:t>
      </w:r>
    </w:p>
    <w:p>
      <w:pPr>
        <w:adjustRightInd w:val="0"/>
        <w:snapToGrid w:val="0"/>
        <w:spacing w:line="54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（三）产权调换安置套房定位按照公平、公正、公开的原则，统一由征收实施单位组织落实。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十三、奖励与补助</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（一）被征收人不论选择货币补偿或产权调换或产权调换市场化安置，若在规定的期限内签订房屋征收补偿协议并按期搬迁腾空移交房屋的，则按合法或可参照合法建筑面积300元/</w:t>
      </w:r>
      <w:r>
        <w:rPr>
          <w:rFonts w:hint="eastAsia" w:ascii="仿宋_GB2312"/>
          <w:sz w:val="32"/>
          <w:szCs w:val="32"/>
        </w:rPr>
        <w:t>㎡</w:t>
      </w:r>
      <w:r>
        <w:rPr>
          <w:rFonts w:hint="eastAsia" w:ascii="仿宋_GB2312" w:hAnsi="仿宋_GB2312" w:eastAsia="仿宋_GB2312" w:cs="仿宋_GB2312"/>
          <w:sz w:val="32"/>
          <w:szCs w:val="32"/>
        </w:rPr>
        <w:t>给予被征收人奖励。</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根据《</w:t>
      </w:r>
      <w:r>
        <w:rPr>
          <w:rFonts w:hint="eastAsia" w:ascii="仿宋_GB2312" w:eastAsia="仿宋_GB2312"/>
          <w:color w:val="000000"/>
          <w:sz w:val="32"/>
          <w:szCs w:val="32"/>
        </w:rPr>
        <w:t>平阳县人民政府办公室关于印发</w:t>
      </w:r>
      <w:r>
        <w:rPr>
          <w:rFonts w:hint="eastAsia" w:ascii="仿宋_GB2312" w:hAnsi="仿宋_GB2312" w:eastAsia="仿宋_GB2312" w:cs="仿宋_GB2312"/>
          <w:color w:val="000000"/>
          <w:sz w:val="32"/>
          <w:szCs w:val="32"/>
        </w:rPr>
        <w:t>平阳县住宅房屋征收市场化安置实施办法（试行）的通知》（平政办〔2016〕28号）和</w:t>
      </w:r>
      <w:r>
        <w:rPr>
          <w:rFonts w:hint="eastAsia" w:ascii="仿宋_GB2312" w:hAnsi="仿宋_GB2312" w:eastAsia="仿宋_GB2312" w:cs="仿宋_GB2312"/>
          <w:sz w:val="32"/>
          <w:szCs w:val="32"/>
        </w:rPr>
        <w:t>《鳌江镇棚户区（城中村）改造货币化安置实施办法（试行）》（鳌政发〔2016〕15号）</w:t>
      </w:r>
      <w:r>
        <w:rPr>
          <w:rFonts w:hint="eastAsia" w:ascii="仿宋_GB2312" w:hAnsi="仿宋_GB2312" w:eastAsia="仿宋_GB2312" w:cs="仿宋_GB2312"/>
          <w:color w:val="000000"/>
          <w:sz w:val="32"/>
          <w:szCs w:val="32"/>
        </w:rPr>
        <w:t>文件规定，</w:t>
      </w:r>
      <w:r>
        <w:rPr>
          <w:rFonts w:hint="eastAsia" w:ascii="仿宋_GB2312" w:hAnsi="仿宋_GB2312" w:eastAsia="仿宋_GB2312" w:cs="仿宋_GB2312"/>
          <w:sz w:val="32"/>
          <w:szCs w:val="32"/>
        </w:rPr>
        <w:t>被征收人选择市场化安置房票兑现安置并按协议约定领取房票，且在领取被征收房屋货币化房票之日起12个月内，在鳌江镇范围内购买鳌江镇政府批准同意的存量安置房或存量商品房的，可向房屋征收实施单位申请购房补助</w:t>
      </w:r>
      <w:r>
        <w:rPr>
          <w:rFonts w:hint="eastAsia" w:ascii="仿宋_GB2312" w:hAnsi="仿宋_GB2312" w:eastAsia="仿宋_GB2312" w:cs="仿宋_GB2312"/>
          <w:color w:val="000000"/>
          <w:sz w:val="32"/>
          <w:szCs w:val="32"/>
        </w:rPr>
        <w:t>；新购房屋金额高于被征收房屋货币补偿金额（含奖金）的，按不高于房屋补偿金额的10%给予补助;新购房屋金额低于被征收房屋货币补偿金额（含奖金）的，按不高于新购房屋价值的10%给予补助。</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十四、无房户和住房困难户的处置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本次征收范围内的本村户籍无房户和住房困难户，在房源许可的前提下，由本人提出申请，经项目所在村委会审核并进行公示，报征收实施单位同意后，按照人均住房面积25平方米认购安置面积，</w:t>
      </w:r>
      <w:r>
        <w:rPr>
          <w:rFonts w:hint="eastAsia" w:ascii="仿宋_GB2312" w:hAnsi="仿宋_GB2312" w:eastAsia="仿宋_GB2312" w:cs="仿宋_GB2312"/>
          <w:color w:val="000000"/>
          <w:sz w:val="32"/>
          <w:szCs w:val="32"/>
        </w:rPr>
        <w:t>但是每户认购安置面积最多不超过120平方米。</w:t>
      </w:r>
      <w:r>
        <w:rPr>
          <w:rFonts w:hint="eastAsia" w:ascii="仿宋_GB2312" w:hAnsi="仿宋_GB2312" w:eastAsia="仿宋_GB2312" w:cs="仿宋_GB2312"/>
          <w:sz w:val="32"/>
          <w:szCs w:val="32"/>
        </w:rPr>
        <w:t>安置面积按照就近的套型面积进行认购，</w:t>
      </w:r>
      <w:r>
        <w:rPr>
          <w:rFonts w:hint="eastAsia" w:ascii="仿宋_GB2312" w:hAnsi="仿宋_GB2312" w:eastAsia="仿宋_GB2312" w:cs="仿宋_GB2312"/>
          <w:color w:val="000000"/>
          <w:sz w:val="32"/>
          <w:szCs w:val="32"/>
        </w:rPr>
        <w:t>60平方米以内的安置面积按照综合成本价（</w:t>
      </w:r>
      <w:r>
        <w:rPr>
          <w:rFonts w:hint="eastAsia" w:ascii="仿宋_GB2312" w:hAnsi="仿宋_GB2312" w:eastAsia="仿宋_GB2312" w:cs="仿宋_GB2312"/>
          <w:sz w:val="32"/>
          <w:szCs w:val="32"/>
        </w:rPr>
        <w:t>按具体安置房源安置办法执行</w:t>
      </w:r>
      <w:r>
        <w:rPr>
          <w:rFonts w:hint="eastAsia" w:ascii="仿宋_GB2312" w:hAnsi="仿宋_GB2312" w:eastAsia="仿宋_GB2312" w:cs="仿宋_GB2312"/>
          <w:color w:val="000000"/>
          <w:sz w:val="32"/>
          <w:szCs w:val="32"/>
        </w:rPr>
        <w:t>）计算，超出60平方米的安置面积按照市场基准价（</w:t>
      </w:r>
      <w:r>
        <w:rPr>
          <w:rFonts w:hint="eastAsia" w:ascii="仿宋_GB2312" w:hAnsi="仿宋_GB2312" w:eastAsia="仿宋_GB2312" w:cs="仿宋_GB2312"/>
          <w:sz w:val="32"/>
          <w:szCs w:val="32"/>
        </w:rPr>
        <w:t>按具体安置房源安置办法执行</w:t>
      </w:r>
      <w:r>
        <w:rPr>
          <w:rFonts w:hint="eastAsia" w:ascii="仿宋_GB2312" w:hAnsi="仿宋_GB2312" w:eastAsia="仿宋_GB2312" w:cs="仿宋_GB2312"/>
          <w:color w:val="000000"/>
          <w:sz w:val="32"/>
          <w:szCs w:val="32"/>
        </w:rPr>
        <w:t>）计算。</w:t>
      </w:r>
      <w:r>
        <w:rPr>
          <w:rFonts w:hint="eastAsia" w:ascii="仿宋_GB2312" w:hAnsi="仿宋_GB2312" w:eastAsia="仿宋_GB2312" w:cs="仿宋_GB2312"/>
          <w:sz w:val="32"/>
          <w:szCs w:val="32"/>
        </w:rPr>
        <w:t>无房户和住房困难户认购安置面积应在被征收人安置完成后指定认购。</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十五、</w:t>
      </w:r>
      <w:r>
        <w:rPr>
          <w:rFonts w:hint="eastAsia" w:ascii="仿宋_GB2312" w:hAnsi="仿宋_GB2312" w:eastAsia="仿宋_GB2312" w:cs="仿宋_GB2312"/>
          <w:color w:val="000000"/>
          <w:sz w:val="32"/>
          <w:szCs w:val="32"/>
        </w:rPr>
        <w:t>征收学校、宗教活动场所及其他特殊构筑物按照有关规定执行。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十六、政策处理过程中，征收实施单位要坚持公开、公平、公正的原则，主动接受监督。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十七、本实施细则自发文之日起实施。</w:t>
      </w: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附件：1.房屋重置价、成新折旧标准</w:t>
      </w:r>
    </w:p>
    <w:p>
      <w:pPr>
        <w:spacing w:line="54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2.房屋室内装饰、装修补偿标准</w:t>
      </w:r>
    </w:p>
    <w:p>
      <w:pPr>
        <w:spacing w:line="54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3.构筑物及其他补偿标准</w:t>
      </w:r>
    </w:p>
    <w:p>
      <w:pPr>
        <w:spacing w:line="54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农作物、经济作物、林木补偿标准</w:t>
      </w:r>
    </w:p>
    <w:p>
      <w:pPr>
        <w:spacing w:line="560" w:lineRule="exact"/>
        <w:rPr>
          <w:rFonts w:hint="eastAsia" w:ascii="仿宋_GB2312" w:hAnsi="黑体" w:eastAsia="仿宋_GB2312"/>
          <w:sz w:val="32"/>
          <w:szCs w:val="32"/>
        </w:rPr>
      </w:pPr>
      <w:r>
        <w:rPr>
          <w:rFonts w:ascii="黑体" w:eastAsia="黑体"/>
          <w:szCs w:val="32"/>
        </w:rPr>
        <w:br w:type="page"/>
      </w:r>
      <w:r>
        <w:rPr>
          <w:rFonts w:hint="eastAsia" w:ascii="仿宋_GB2312" w:hAnsi="黑体" w:eastAsia="仿宋_GB2312"/>
          <w:sz w:val="32"/>
          <w:szCs w:val="32"/>
        </w:rPr>
        <w:t>附件1</w:t>
      </w:r>
    </w:p>
    <w:p>
      <w:pPr>
        <w:spacing w:line="520" w:lineRule="exact"/>
        <w:jc w:val="center"/>
        <w:rPr>
          <w:rFonts w:hint="eastAsia" w:ascii="黑体" w:hAnsi="黑体" w:eastAsia="黑体"/>
          <w:sz w:val="44"/>
          <w:szCs w:val="44"/>
        </w:rPr>
      </w:pPr>
      <w:r>
        <w:rPr>
          <w:rFonts w:hint="eastAsia" w:ascii="黑体" w:hAnsi="黑体" w:eastAsia="黑体"/>
          <w:sz w:val="44"/>
          <w:szCs w:val="44"/>
        </w:rPr>
        <w:t>房屋重置价、成新折旧标准</w:t>
      </w:r>
    </w:p>
    <w:p>
      <w:pPr>
        <w:spacing w:line="600" w:lineRule="exact"/>
        <w:ind w:left="420" w:right="210"/>
        <w:jc w:val="right"/>
        <w:rPr>
          <w:rFonts w:hint="eastAsia"/>
          <w:sz w:val="28"/>
          <w:szCs w:val="28"/>
        </w:rPr>
      </w:pPr>
    </w:p>
    <w:p>
      <w:pPr>
        <w:spacing w:line="600" w:lineRule="exact"/>
        <w:ind w:left="420" w:right="210"/>
        <w:jc w:val="right"/>
        <w:rPr>
          <w:rFonts w:hint="eastAsia" w:ascii="仿宋_GB2312" w:eastAsia="仿宋_GB2312"/>
          <w:sz w:val="28"/>
          <w:szCs w:val="28"/>
        </w:rPr>
      </w:pPr>
      <w:r>
        <w:rPr>
          <w:rFonts w:hint="eastAsia" w:ascii="仿宋_GB2312" w:eastAsia="仿宋_GB2312"/>
          <w:sz w:val="28"/>
          <w:szCs w:val="28"/>
        </w:rPr>
        <w:t>单位：元/平方米</w:t>
      </w:r>
    </w:p>
    <w:tbl>
      <w:tblPr>
        <w:tblStyle w:val="5"/>
        <w:tblW w:w="9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831"/>
        <w:gridCol w:w="1334"/>
        <w:gridCol w:w="1372"/>
        <w:gridCol w:w="1903"/>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房屋结构</w:t>
            </w:r>
          </w:p>
        </w:tc>
        <w:tc>
          <w:tcPr>
            <w:tcW w:w="18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钢混多层</w:t>
            </w:r>
          </w:p>
        </w:tc>
        <w:tc>
          <w:tcPr>
            <w:tcW w:w="13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砖混</w:t>
            </w:r>
          </w:p>
        </w:tc>
        <w:tc>
          <w:tcPr>
            <w:tcW w:w="13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砖木</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木结构</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简易房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价格</w:t>
            </w:r>
          </w:p>
        </w:tc>
        <w:tc>
          <w:tcPr>
            <w:tcW w:w="18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980</w:t>
            </w:r>
          </w:p>
        </w:tc>
        <w:tc>
          <w:tcPr>
            <w:tcW w:w="13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700</w:t>
            </w:r>
          </w:p>
        </w:tc>
        <w:tc>
          <w:tcPr>
            <w:tcW w:w="13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600</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500</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200</w:t>
            </w:r>
          </w:p>
        </w:tc>
      </w:tr>
    </w:tbl>
    <w:p>
      <w:pPr>
        <w:spacing w:line="600" w:lineRule="exact"/>
      </w:pPr>
      <w:r>
        <w:rPr>
          <w:rFonts w:hint="eastAsia"/>
        </w:rPr>
        <w:t>说明：成新折旧按每使用1年扣除1%计算，折旧后最低不低于重置价的50%。</w:t>
      </w:r>
    </w:p>
    <w:p>
      <w:pPr>
        <w:spacing w:line="600" w:lineRule="exact"/>
        <w:rPr>
          <w:rFonts w:ascii="黑体" w:eastAsia="黑体"/>
          <w:szCs w:val="32"/>
        </w:rPr>
      </w:pPr>
    </w:p>
    <w:p>
      <w:pPr>
        <w:spacing w:line="600" w:lineRule="exact"/>
        <w:rPr>
          <w:rFonts w:ascii="黑体" w:eastAsia="黑体"/>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560" w:lineRule="exact"/>
        <w:rPr>
          <w:rFonts w:hint="eastAsia" w:ascii="仿宋_GB2312" w:hAnsi="黑体" w:eastAsia="仿宋_GB2312"/>
          <w:sz w:val="32"/>
          <w:szCs w:val="32"/>
        </w:rPr>
      </w:pPr>
      <w:r>
        <w:rPr>
          <w:rFonts w:hint="eastAsia" w:ascii="仿宋_GB2312" w:hAnsi="黑体" w:eastAsia="仿宋_GB2312"/>
          <w:sz w:val="32"/>
          <w:szCs w:val="32"/>
        </w:rPr>
        <w:t>附件2</w:t>
      </w:r>
    </w:p>
    <w:p>
      <w:pPr>
        <w:spacing w:line="520" w:lineRule="exact"/>
        <w:jc w:val="center"/>
        <w:rPr>
          <w:rFonts w:hint="eastAsia" w:ascii="黑体" w:hAnsi="黑体" w:eastAsia="黑体"/>
          <w:sz w:val="44"/>
          <w:szCs w:val="44"/>
        </w:rPr>
      </w:pPr>
      <w:r>
        <w:rPr>
          <w:rFonts w:hint="eastAsia" w:ascii="黑体" w:hAnsi="黑体" w:eastAsia="黑体"/>
          <w:sz w:val="44"/>
          <w:szCs w:val="44"/>
        </w:rPr>
        <w:t>房屋室内装饰、装修补偿标准</w:t>
      </w:r>
    </w:p>
    <w:p>
      <w:pPr>
        <w:spacing w:line="240" w:lineRule="exact"/>
        <w:jc w:val="center"/>
        <w:rPr>
          <w:rFonts w:ascii="方正小标宋简体" w:eastAsia="方正小标宋简体"/>
          <w:sz w:val="44"/>
          <w:szCs w:val="44"/>
        </w:rPr>
      </w:pPr>
    </w:p>
    <w:tbl>
      <w:tblPr>
        <w:tblStyle w:val="5"/>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2841"/>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rPr>
            </w:pPr>
            <w:r>
              <w:rPr>
                <w:rFonts w:hint="eastAsia"/>
                <w:b/>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rPr>
            </w:pPr>
            <w:r>
              <w:rPr>
                <w:rFonts w:hint="eastAsia"/>
                <w:b/>
              </w:rPr>
              <w:t>质量标准</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rPr>
            </w:pPr>
            <w:r>
              <w:rPr>
                <w:rFonts w:hint="eastAsia"/>
                <w:b/>
              </w:rPr>
              <w:t>补偿单价（元/㎡）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防盗窗罩</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不锈钢可拉式</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不锈钢固定式</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普通钢筋可拉式</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普通钢筋固定式</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墙纸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墙面油漆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无光漆</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喷塑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多彩</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马赛克</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瓷质</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陶瓷砖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铜质</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陶质</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抛光砖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60cm×60cm或以上</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不锈钢包柱</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钢混结构木龙骨</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宝丽板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贴墙面或吊顶</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三合板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油漆</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吸塑板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水磨石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嵌铜条彩色</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嵌玻璃条</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强化复合地板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实木地板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中高档</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普通档</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大理石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普通花岗岩</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中、高档花岗岩</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座便器</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450元/套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洗脸盆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浴缸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吊柜、壁柜</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立面面积</w:t>
            </w:r>
          </w:p>
        </w:tc>
        <w:tc>
          <w:tcPr>
            <w:tcW w:w="27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120</w:t>
            </w:r>
          </w:p>
        </w:tc>
      </w:tr>
    </w:tbl>
    <w:p>
      <w:pPr>
        <w:spacing w:line="500" w:lineRule="exact"/>
      </w:pPr>
      <w:r>
        <w:rPr>
          <w:rFonts w:hint="eastAsia"/>
        </w:rPr>
        <w:t>说明：1.房屋结构等级范围内的装饰不予补偿。</w:t>
      </w:r>
    </w:p>
    <w:p>
      <w:pPr>
        <w:spacing w:line="500" w:lineRule="exact"/>
      </w:pPr>
      <w:r>
        <w:rPr>
          <w:rFonts w:hint="eastAsia"/>
        </w:rPr>
        <w:t xml:space="preserve">      2.本单价不包括成新，结算时应按评估比例成新计算。</w:t>
      </w:r>
    </w:p>
    <w:p>
      <w:pPr>
        <w:spacing w:line="500" w:lineRule="exact"/>
        <w:ind w:firstLine="105" w:firstLineChars="50"/>
      </w:pPr>
      <w:r>
        <w:rPr>
          <w:rFonts w:hint="eastAsia"/>
        </w:rPr>
        <w:t xml:space="preserve">     3.房屋装饰补偿标准外的装饰项目按现场评估确定。</w:t>
      </w:r>
    </w:p>
    <w:p>
      <w:pPr>
        <w:spacing w:line="500" w:lineRule="exact"/>
        <w:ind w:firstLine="630" w:firstLineChars="300"/>
        <w:rPr>
          <w:rFonts w:hint="eastAsia" w:ascii="黑体" w:hAnsi="黑体" w:eastAsia="黑体"/>
          <w:sz w:val="32"/>
          <w:szCs w:val="32"/>
        </w:rPr>
      </w:pPr>
      <w:r>
        <w:rPr>
          <w:rFonts w:hint="eastAsia"/>
        </w:rPr>
        <w:t>4.水、电、有线电视、电话等按照征收范围确定时的安装收费标准予以计算。</w:t>
      </w:r>
    </w:p>
    <w:p>
      <w:pPr>
        <w:spacing w:line="560" w:lineRule="exact"/>
        <w:rPr>
          <w:rFonts w:hint="eastAsia" w:ascii="仿宋_GB2312" w:hAnsi="黑体" w:eastAsia="仿宋_GB2312"/>
          <w:sz w:val="32"/>
          <w:szCs w:val="32"/>
        </w:rPr>
      </w:pPr>
    </w:p>
    <w:p>
      <w:pPr>
        <w:spacing w:line="560" w:lineRule="exact"/>
        <w:rPr>
          <w:rFonts w:hint="eastAsia" w:ascii="仿宋_GB2312" w:hAnsi="黑体" w:eastAsia="仿宋_GB2312"/>
          <w:sz w:val="32"/>
          <w:szCs w:val="32"/>
        </w:rPr>
      </w:pPr>
    </w:p>
    <w:p>
      <w:pPr>
        <w:spacing w:line="560" w:lineRule="exact"/>
        <w:rPr>
          <w:rFonts w:hint="eastAsia" w:ascii="仿宋_GB2312" w:hAnsi="黑体" w:eastAsia="仿宋_GB2312"/>
          <w:sz w:val="32"/>
          <w:szCs w:val="32"/>
        </w:rPr>
      </w:pPr>
    </w:p>
    <w:p>
      <w:pPr>
        <w:spacing w:line="560" w:lineRule="exact"/>
        <w:rPr>
          <w:rFonts w:hint="eastAsia" w:ascii="仿宋_GB2312" w:hAnsi="黑体" w:eastAsia="仿宋_GB2312"/>
          <w:sz w:val="32"/>
          <w:szCs w:val="32"/>
        </w:rPr>
      </w:pPr>
      <w:r>
        <w:rPr>
          <w:rFonts w:hint="eastAsia" w:ascii="仿宋_GB2312" w:hAnsi="黑体" w:eastAsia="仿宋_GB2312"/>
          <w:sz w:val="32"/>
          <w:szCs w:val="32"/>
        </w:rPr>
        <w:t>附件3</w:t>
      </w:r>
    </w:p>
    <w:p>
      <w:pPr>
        <w:spacing w:line="520" w:lineRule="exact"/>
        <w:jc w:val="center"/>
        <w:rPr>
          <w:rFonts w:hint="eastAsia" w:ascii="黑体" w:hAnsi="黑体" w:eastAsia="黑体"/>
          <w:sz w:val="44"/>
          <w:szCs w:val="44"/>
        </w:rPr>
      </w:pPr>
      <w:r>
        <w:rPr>
          <w:rFonts w:hint="eastAsia" w:ascii="黑体" w:hAnsi="黑体" w:eastAsia="黑体"/>
          <w:sz w:val="44"/>
          <w:szCs w:val="44"/>
        </w:rPr>
        <w:t>构筑物及其他补偿标准</w:t>
      </w:r>
    </w:p>
    <w:p>
      <w:pPr>
        <w:spacing w:line="240" w:lineRule="exact"/>
        <w:jc w:val="center"/>
        <w:rPr>
          <w:rFonts w:ascii="方正小标宋简体" w:eastAsia="方正小标宋简体"/>
          <w:sz w:val="44"/>
          <w:szCs w:val="44"/>
        </w:rPr>
      </w:pPr>
    </w:p>
    <w:tbl>
      <w:tblPr>
        <w:tblStyle w:val="5"/>
        <w:tblW w:w="8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284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质量标准</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b/>
                <w:sz w:val="28"/>
                <w:szCs w:val="28"/>
              </w:rPr>
            </w:pPr>
            <w:r>
              <w:rPr>
                <w:rFonts w:hint="eastAsia" w:ascii="仿宋_GB2312" w:eastAsia="仿宋_GB2312"/>
                <w:b/>
                <w:sz w:val="28"/>
                <w:szCs w:val="28"/>
              </w:rPr>
              <w:t>补偿单价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水泥道坦</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砼厚度在5cm以上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30元/</w:t>
            </w: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砼厚度在5cm以下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20元/</w:t>
            </w: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砖围墙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墙体完好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50元/</w:t>
            </w: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方块石围墙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40元/</w:t>
            </w: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无形状块石围墙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20元/</w:t>
            </w: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水井</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直径在25cm以上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200元/口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直径在25cm以下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150元/口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化粪池</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一立方米以上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200元/m</w:t>
            </w:r>
            <w:r>
              <w:rPr>
                <w:rFonts w:hint="eastAsia" w:ascii="仿宋_GB2312"/>
                <w:sz w:val="28"/>
                <w:szCs w:val="28"/>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厕所</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地面建筑</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200元/个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粪坑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300元/个</w:t>
            </w:r>
          </w:p>
        </w:tc>
      </w:tr>
    </w:tbl>
    <w:p>
      <w:pPr>
        <w:spacing w:line="600" w:lineRule="exact"/>
      </w:pPr>
      <w:r>
        <w:rPr>
          <w:rFonts w:hint="eastAsia"/>
        </w:rPr>
        <w:t>说明：本单价不包括成新，结算时应按评估比例成新计算。</w:t>
      </w:r>
    </w:p>
    <w:p>
      <w:pPr>
        <w:spacing w:line="600" w:lineRule="exact"/>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p>
    <w:p>
      <w:pPr>
        <w:spacing w:line="560" w:lineRule="exact"/>
        <w:rPr>
          <w:rFonts w:hint="eastAsia" w:ascii="仿宋_GB2312" w:hAnsi="黑体" w:eastAsia="仿宋_GB2312"/>
          <w:sz w:val="32"/>
          <w:szCs w:val="32"/>
        </w:rPr>
      </w:pPr>
      <w:r>
        <w:rPr>
          <w:rFonts w:hint="eastAsia" w:ascii="仿宋_GB2312" w:hAnsi="黑体" w:eastAsia="仿宋_GB2312"/>
          <w:sz w:val="32"/>
          <w:szCs w:val="32"/>
        </w:rPr>
        <w:t>附件4</w:t>
      </w:r>
    </w:p>
    <w:p>
      <w:pPr>
        <w:spacing w:line="520" w:lineRule="exact"/>
        <w:jc w:val="center"/>
        <w:rPr>
          <w:rFonts w:hint="eastAsia" w:ascii="黑体" w:hAnsi="黑体" w:eastAsia="黑体"/>
          <w:sz w:val="44"/>
          <w:szCs w:val="44"/>
        </w:rPr>
      </w:pPr>
      <w:r>
        <w:rPr>
          <w:rFonts w:hint="eastAsia" w:ascii="黑体" w:hAnsi="黑体" w:eastAsia="黑体"/>
          <w:sz w:val="44"/>
          <w:szCs w:val="44"/>
        </w:rPr>
        <w:t>农作物、经济作物、林木补偿标准</w:t>
      </w:r>
    </w:p>
    <w:p>
      <w:pPr>
        <w:spacing w:line="240" w:lineRule="exact"/>
        <w:jc w:val="center"/>
        <w:rPr>
          <w:rFonts w:ascii="方正小标宋简体" w:eastAsia="方正小标宋简体"/>
          <w:sz w:val="44"/>
          <w:szCs w:val="44"/>
        </w:rPr>
      </w:pPr>
    </w:p>
    <w:tbl>
      <w:tblPr>
        <w:tblStyle w:val="5"/>
        <w:tblW w:w="904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9"/>
        <w:gridCol w:w="2764"/>
        <w:gridCol w:w="2580"/>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Align w:val="center"/>
          </w:tcPr>
          <w:p>
            <w:pPr>
              <w:spacing w:line="340" w:lineRule="exact"/>
              <w:jc w:val="center"/>
              <w:rPr>
                <w:rFonts w:cs="仿宋_GB2312"/>
                <w:b/>
              </w:rPr>
            </w:pPr>
            <w:r>
              <w:rPr>
                <w:rFonts w:hint="eastAsia" w:cs="仿宋_GB2312"/>
                <w:b/>
              </w:rPr>
              <w:t>项目</w:t>
            </w:r>
          </w:p>
        </w:tc>
        <w:tc>
          <w:tcPr>
            <w:tcW w:w="2764" w:type="dxa"/>
            <w:vAlign w:val="center"/>
          </w:tcPr>
          <w:p>
            <w:pPr>
              <w:spacing w:line="340" w:lineRule="exact"/>
              <w:jc w:val="center"/>
              <w:rPr>
                <w:rFonts w:cs="仿宋_GB2312"/>
                <w:b/>
              </w:rPr>
            </w:pPr>
            <w:r>
              <w:rPr>
                <w:rFonts w:hint="eastAsia" w:cs="仿宋_GB2312"/>
                <w:b/>
              </w:rPr>
              <w:t>规格标准</w:t>
            </w:r>
          </w:p>
        </w:tc>
        <w:tc>
          <w:tcPr>
            <w:tcW w:w="2580" w:type="dxa"/>
            <w:vAlign w:val="center"/>
          </w:tcPr>
          <w:p>
            <w:pPr>
              <w:spacing w:line="340" w:lineRule="exact"/>
              <w:jc w:val="center"/>
              <w:rPr>
                <w:rFonts w:cs="仿宋_GB2312"/>
                <w:b/>
              </w:rPr>
            </w:pPr>
            <w:r>
              <w:rPr>
                <w:rFonts w:hint="eastAsia" w:cs="仿宋_GB2312"/>
                <w:b/>
              </w:rPr>
              <w:t>单价</w:t>
            </w:r>
          </w:p>
        </w:tc>
        <w:tc>
          <w:tcPr>
            <w:tcW w:w="2027" w:type="dxa"/>
            <w:vAlign w:val="center"/>
          </w:tcPr>
          <w:p>
            <w:pPr>
              <w:spacing w:line="340" w:lineRule="exact"/>
              <w:jc w:val="center"/>
              <w:rPr>
                <w:rFonts w:cs="仿宋_GB2312"/>
                <w:b/>
              </w:rPr>
            </w:pPr>
            <w:r>
              <w:rPr>
                <w:rFonts w:hint="eastAsia"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Align w:val="center"/>
          </w:tcPr>
          <w:p>
            <w:pPr>
              <w:spacing w:line="340" w:lineRule="exact"/>
              <w:jc w:val="center"/>
              <w:rPr>
                <w:rFonts w:cs="仿宋_GB2312"/>
              </w:rPr>
            </w:pPr>
            <w:r>
              <w:rPr>
                <w:rFonts w:hint="eastAsia" w:cs="仿宋_GB2312"/>
              </w:rPr>
              <w:t>蔬菜</w:t>
            </w:r>
          </w:p>
        </w:tc>
        <w:tc>
          <w:tcPr>
            <w:tcW w:w="2764" w:type="dxa"/>
            <w:vAlign w:val="center"/>
          </w:tcPr>
          <w:p>
            <w:pPr>
              <w:spacing w:line="340" w:lineRule="exact"/>
              <w:jc w:val="center"/>
              <w:rPr>
                <w:rFonts w:cs="仿宋_GB2312"/>
              </w:rPr>
            </w:pPr>
            <w:r>
              <w:rPr>
                <w:rFonts w:hint="eastAsia" w:cs="仿宋_GB2312"/>
              </w:rPr>
              <w:t>按蔬菜种类划分</w:t>
            </w:r>
          </w:p>
        </w:tc>
        <w:tc>
          <w:tcPr>
            <w:tcW w:w="2580" w:type="dxa"/>
            <w:vAlign w:val="center"/>
          </w:tcPr>
          <w:p>
            <w:pPr>
              <w:spacing w:line="340" w:lineRule="exact"/>
              <w:jc w:val="center"/>
              <w:rPr>
                <w:rFonts w:cs="仿宋_GB2312"/>
              </w:rPr>
            </w:pPr>
            <w:r>
              <w:rPr>
                <w:rFonts w:hint="eastAsia" w:cs="仿宋_GB2312"/>
              </w:rPr>
              <w:t>1800元/亩</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Align w:val="center"/>
          </w:tcPr>
          <w:p>
            <w:pPr>
              <w:spacing w:line="340" w:lineRule="exact"/>
              <w:jc w:val="center"/>
              <w:rPr>
                <w:rFonts w:cs="仿宋_GB2312"/>
              </w:rPr>
            </w:pPr>
            <w:r>
              <w:rPr>
                <w:rFonts w:hint="eastAsia" w:cs="仿宋_GB2312"/>
              </w:rPr>
              <w:t>豆类</w:t>
            </w:r>
          </w:p>
        </w:tc>
        <w:tc>
          <w:tcPr>
            <w:tcW w:w="2764" w:type="dxa"/>
            <w:vAlign w:val="center"/>
          </w:tcPr>
          <w:p>
            <w:pPr>
              <w:spacing w:line="340" w:lineRule="exact"/>
              <w:jc w:val="center"/>
              <w:rPr>
                <w:rFonts w:cs="仿宋_GB2312"/>
              </w:rPr>
            </w:pPr>
            <w:r>
              <w:rPr>
                <w:rFonts w:hint="eastAsia" w:cs="仿宋_GB2312"/>
              </w:rPr>
              <w:t>按豆种类划分</w:t>
            </w:r>
          </w:p>
        </w:tc>
        <w:tc>
          <w:tcPr>
            <w:tcW w:w="2580" w:type="dxa"/>
            <w:vAlign w:val="center"/>
          </w:tcPr>
          <w:p>
            <w:pPr>
              <w:spacing w:line="340" w:lineRule="exact"/>
              <w:jc w:val="center"/>
              <w:rPr>
                <w:rFonts w:cs="仿宋_GB2312"/>
              </w:rPr>
            </w:pPr>
            <w:r>
              <w:rPr>
                <w:rFonts w:hint="eastAsia" w:cs="仿宋_GB2312"/>
              </w:rPr>
              <w:t>1000-1500元/亩</w:t>
            </w:r>
          </w:p>
        </w:tc>
        <w:tc>
          <w:tcPr>
            <w:tcW w:w="2027" w:type="dxa"/>
            <w:vAlign w:val="center"/>
          </w:tcPr>
          <w:p>
            <w:pPr>
              <w:spacing w:line="340" w:lineRule="exact"/>
              <w:jc w:val="center"/>
              <w:rPr>
                <w:rFonts w:cs="仿宋_GB2312"/>
              </w:rPr>
            </w:pPr>
            <w:r>
              <w:rPr>
                <w:rFonts w:hint="eastAsia" w:cs="仿宋_GB2312"/>
              </w:rPr>
              <w:t>以实种面积为准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Align w:val="center"/>
          </w:tcPr>
          <w:p>
            <w:pPr>
              <w:spacing w:line="340" w:lineRule="exact"/>
              <w:jc w:val="center"/>
              <w:rPr>
                <w:rFonts w:cs="仿宋_GB2312"/>
              </w:rPr>
            </w:pPr>
            <w:r>
              <w:rPr>
                <w:rFonts w:hint="eastAsia" w:cs="仿宋_GB2312"/>
              </w:rPr>
              <w:t>水稻</w:t>
            </w:r>
          </w:p>
        </w:tc>
        <w:tc>
          <w:tcPr>
            <w:tcW w:w="2764" w:type="dxa"/>
            <w:vAlign w:val="center"/>
          </w:tcPr>
          <w:p>
            <w:pPr>
              <w:spacing w:line="340" w:lineRule="exact"/>
              <w:jc w:val="center"/>
              <w:rPr>
                <w:rFonts w:cs="仿宋_GB2312"/>
              </w:rPr>
            </w:pPr>
          </w:p>
        </w:tc>
        <w:tc>
          <w:tcPr>
            <w:tcW w:w="2580" w:type="dxa"/>
            <w:vAlign w:val="center"/>
          </w:tcPr>
          <w:p>
            <w:pPr>
              <w:spacing w:line="340" w:lineRule="exact"/>
              <w:jc w:val="center"/>
              <w:rPr>
                <w:rFonts w:cs="仿宋_GB2312"/>
              </w:rPr>
            </w:pPr>
            <w:r>
              <w:rPr>
                <w:rFonts w:hint="eastAsia" w:cs="仿宋_GB2312"/>
              </w:rPr>
              <w:t>1200元/亩</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restart"/>
            <w:vAlign w:val="center"/>
          </w:tcPr>
          <w:p>
            <w:pPr>
              <w:spacing w:line="340" w:lineRule="exact"/>
              <w:jc w:val="center"/>
              <w:rPr>
                <w:rFonts w:cs="仿宋_GB2312"/>
              </w:rPr>
            </w:pPr>
            <w:r>
              <w:rPr>
                <w:rFonts w:hint="eastAsia" w:cs="仿宋_GB2312"/>
              </w:rPr>
              <w:t>杉树</w:t>
            </w:r>
          </w:p>
          <w:p>
            <w:pPr>
              <w:spacing w:line="340" w:lineRule="exact"/>
              <w:jc w:val="center"/>
              <w:rPr>
                <w:rFonts w:cs="仿宋_GB2312"/>
              </w:rPr>
            </w:pPr>
            <w:r>
              <w:rPr>
                <w:rFonts w:hint="eastAsia" w:cs="仿宋_GB2312"/>
              </w:rPr>
              <w:t>樟树</w:t>
            </w:r>
          </w:p>
        </w:tc>
        <w:tc>
          <w:tcPr>
            <w:tcW w:w="2764" w:type="dxa"/>
            <w:vAlign w:val="center"/>
          </w:tcPr>
          <w:p>
            <w:pPr>
              <w:spacing w:line="340" w:lineRule="exact"/>
              <w:jc w:val="center"/>
              <w:rPr>
                <w:rFonts w:cs="仿宋_GB2312"/>
              </w:rPr>
            </w:pPr>
            <w:r>
              <w:rPr>
                <w:rFonts w:hint="eastAsia" w:cs="仿宋_GB2312"/>
              </w:rPr>
              <w:t>胸径＜5cm</w:t>
            </w:r>
          </w:p>
        </w:tc>
        <w:tc>
          <w:tcPr>
            <w:tcW w:w="2580" w:type="dxa"/>
            <w:vAlign w:val="center"/>
          </w:tcPr>
          <w:p>
            <w:pPr>
              <w:spacing w:line="340" w:lineRule="exact"/>
              <w:jc w:val="center"/>
              <w:rPr>
                <w:rFonts w:cs="仿宋_GB2312"/>
              </w:rPr>
            </w:pPr>
            <w:r>
              <w:rPr>
                <w:rFonts w:hint="eastAsia" w:cs="仿宋_GB2312"/>
              </w:rPr>
              <w:t>7元/株</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5cm≤胸径＜8cm</w:t>
            </w:r>
          </w:p>
        </w:tc>
        <w:tc>
          <w:tcPr>
            <w:tcW w:w="2580" w:type="dxa"/>
            <w:vAlign w:val="center"/>
          </w:tcPr>
          <w:p>
            <w:pPr>
              <w:spacing w:line="340" w:lineRule="exact"/>
              <w:jc w:val="center"/>
              <w:rPr>
                <w:rFonts w:cs="仿宋_GB2312"/>
              </w:rPr>
            </w:pPr>
            <w:r>
              <w:rPr>
                <w:rFonts w:hint="eastAsia" w:cs="仿宋_GB2312"/>
              </w:rPr>
              <w:t>15元/株</w:t>
            </w:r>
          </w:p>
        </w:tc>
        <w:tc>
          <w:tcPr>
            <w:tcW w:w="2027" w:type="dxa"/>
            <w:vMerge w:val="restart"/>
            <w:vAlign w:val="center"/>
          </w:tcPr>
          <w:p>
            <w:pPr>
              <w:spacing w:line="340" w:lineRule="exact"/>
              <w:jc w:val="center"/>
              <w:rPr>
                <w:rFonts w:cs="仿宋_GB2312"/>
              </w:rPr>
            </w:pPr>
            <w:r>
              <w:rPr>
                <w:rFonts w:hint="eastAsia" w:cs="仿宋_GB2312"/>
              </w:rPr>
              <w:t>以地面以上1.3米处</w:t>
            </w:r>
          </w:p>
          <w:p>
            <w:pPr>
              <w:spacing w:line="340" w:lineRule="exact"/>
              <w:jc w:val="center"/>
              <w:rPr>
                <w:rFonts w:cs="仿宋_GB2312"/>
              </w:rPr>
            </w:pPr>
            <w:r>
              <w:rPr>
                <w:rFonts w:hint="eastAsia" w:cs="仿宋_GB2312"/>
              </w:rPr>
              <w:t>胸径为准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8cm≤胸径＜15cm</w:t>
            </w:r>
          </w:p>
        </w:tc>
        <w:tc>
          <w:tcPr>
            <w:tcW w:w="2580" w:type="dxa"/>
            <w:vAlign w:val="center"/>
          </w:tcPr>
          <w:p>
            <w:pPr>
              <w:spacing w:line="340" w:lineRule="exact"/>
              <w:jc w:val="center"/>
              <w:rPr>
                <w:rFonts w:cs="仿宋_GB2312"/>
              </w:rPr>
            </w:pPr>
            <w:r>
              <w:rPr>
                <w:rFonts w:hint="eastAsia" w:cs="仿宋_GB2312"/>
              </w:rPr>
              <w:t>30元/株</w:t>
            </w:r>
          </w:p>
        </w:tc>
        <w:tc>
          <w:tcPr>
            <w:tcW w:w="2027" w:type="dxa"/>
            <w:vMerge w:val="continue"/>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胸径≥15cm</w:t>
            </w:r>
          </w:p>
        </w:tc>
        <w:tc>
          <w:tcPr>
            <w:tcW w:w="2580" w:type="dxa"/>
            <w:vAlign w:val="center"/>
          </w:tcPr>
          <w:p>
            <w:pPr>
              <w:spacing w:line="340" w:lineRule="exact"/>
              <w:jc w:val="center"/>
              <w:rPr>
                <w:rFonts w:cs="仿宋_GB2312"/>
              </w:rPr>
            </w:pPr>
            <w:r>
              <w:rPr>
                <w:rFonts w:hint="eastAsia" w:cs="仿宋_GB2312"/>
              </w:rPr>
              <w:t>按市场评估价</w:t>
            </w:r>
          </w:p>
        </w:tc>
        <w:tc>
          <w:tcPr>
            <w:tcW w:w="2027" w:type="dxa"/>
            <w:vMerge w:val="continue"/>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restart"/>
            <w:vAlign w:val="center"/>
          </w:tcPr>
          <w:p>
            <w:pPr>
              <w:spacing w:line="340" w:lineRule="exact"/>
              <w:jc w:val="center"/>
              <w:rPr>
                <w:rFonts w:cs="仿宋_GB2312"/>
              </w:rPr>
            </w:pPr>
            <w:r>
              <w:rPr>
                <w:rFonts w:hint="eastAsia" w:cs="仿宋_GB2312"/>
              </w:rPr>
              <w:t>松树</w:t>
            </w:r>
          </w:p>
          <w:p>
            <w:pPr>
              <w:spacing w:line="340" w:lineRule="exact"/>
              <w:jc w:val="center"/>
              <w:rPr>
                <w:rFonts w:cs="仿宋_GB2312"/>
              </w:rPr>
            </w:pPr>
            <w:r>
              <w:rPr>
                <w:rFonts w:hint="eastAsia" w:cs="仿宋_GB2312"/>
              </w:rPr>
              <w:t>枫树</w:t>
            </w:r>
          </w:p>
          <w:p>
            <w:pPr>
              <w:spacing w:line="340" w:lineRule="exact"/>
              <w:jc w:val="center"/>
              <w:rPr>
                <w:rFonts w:cs="仿宋_GB2312"/>
              </w:rPr>
            </w:pPr>
            <w:r>
              <w:rPr>
                <w:rFonts w:hint="eastAsia" w:cs="仿宋_GB2312"/>
              </w:rPr>
              <w:t>杂树</w:t>
            </w:r>
          </w:p>
        </w:tc>
        <w:tc>
          <w:tcPr>
            <w:tcW w:w="2764" w:type="dxa"/>
            <w:vAlign w:val="center"/>
          </w:tcPr>
          <w:p>
            <w:pPr>
              <w:spacing w:line="340" w:lineRule="exact"/>
              <w:jc w:val="center"/>
              <w:rPr>
                <w:rFonts w:cs="仿宋_GB2312"/>
              </w:rPr>
            </w:pPr>
            <w:r>
              <w:rPr>
                <w:rFonts w:hint="eastAsia" w:cs="仿宋_GB2312"/>
              </w:rPr>
              <w:t>胸径＜10cm</w:t>
            </w:r>
          </w:p>
        </w:tc>
        <w:tc>
          <w:tcPr>
            <w:tcW w:w="2580" w:type="dxa"/>
            <w:vAlign w:val="center"/>
          </w:tcPr>
          <w:p>
            <w:pPr>
              <w:spacing w:line="340" w:lineRule="exact"/>
              <w:jc w:val="center"/>
              <w:rPr>
                <w:rFonts w:cs="仿宋_GB2312"/>
              </w:rPr>
            </w:pPr>
            <w:r>
              <w:rPr>
                <w:rFonts w:hint="eastAsia" w:cs="仿宋_GB2312"/>
              </w:rPr>
              <w:t>4元/株</w:t>
            </w:r>
          </w:p>
        </w:tc>
        <w:tc>
          <w:tcPr>
            <w:tcW w:w="2027" w:type="dxa"/>
            <w:vMerge w:val="continue"/>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10cm≤胸径＜15cm</w:t>
            </w:r>
          </w:p>
        </w:tc>
        <w:tc>
          <w:tcPr>
            <w:tcW w:w="2580" w:type="dxa"/>
            <w:vAlign w:val="center"/>
          </w:tcPr>
          <w:p>
            <w:pPr>
              <w:spacing w:line="340" w:lineRule="exact"/>
              <w:jc w:val="center"/>
              <w:rPr>
                <w:rFonts w:cs="仿宋_GB2312"/>
              </w:rPr>
            </w:pPr>
            <w:r>
              <w:rPr>
                <w:rFonts w:hint="eastAsia" w:cs="仿宋_GB2312"/>
              </w:rPr>
              <w:t>15元/株</w:t>
            </w:r>
          </w:p>
        </w:tc>
        <w:tc>
          <w:tcPr>
            <w:tcW w:w="2027" w:type="dxa"/>
            <w:vMerge w:val="continue"/>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胸径≥15cm</w:t>
            </w:r>
          </w:p>
        </w:tc>
        <w:tc>
          <w:tcPr>
            <w:tcW w:w="2580" w:type="dxa"/>
            <w:vAlign w:val="center"/>
          </w:tcPr>
          <w:p>
            <w:pPr>
              <w:spacing w:line="340" w:lineRule="exact"/>
              <w:jc w:val="center"/>
              <w:rPr>
                <w:rFonts w:cs="仿宋_GB2312"/>
              </w:rPr>
            </w:pPr>
            <w:r>
              <w:rPr>
                <w:rFonts w:hint="eastAsia" w:cs="仿宋_GB2312"/>
              </w:rPr>
              <w:t>按市场评估价</w:t>
            </w:r>
          </w:p>
        </w:tc>
        <w:tc>
          <w:tcPr>
            <w:tcW w:w="2027" w:type="dxa"/>
            <w:vMerge w:val="continue"/>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restart"/>
            <w:vAlign w:val="center"/>
          </w:tcPr>
          <w:p>
            <w:pPr>
              <w:spacing w:line="340" w:lineRule="exact"/>
              <w:jc w:val="center"/>
              <w:rPr>
                <w:rFonts w:cs="仿宋_GB2312"/>
              </w:rPr>
            </w:pPr>
            <w:r>
              <w:rPr>
                <w:rFonts w:hint="eastAsia" w:cs="仿宋_GB2312"/>
              </w:rPr>
              <w:t>柑桔</w:t>
            </w:r>
          </w:p>
          <w:p>
            <w:pPr>
              <w:spacing w:line="340" w:lineRule="exact"/>
              <w:jc w:val="center"/>
              <w:rPr>
                <w:rFonts w:cs="仿宋_GB2312"/>
              </w:rPr>
            </w:pPr>
            <w:r>
              <w:rPr>
                <w:rFonts w:hint="eastAsia" w:cs="仿宋_GB2312"/>
              </w:rPr>
              <w:t>桃梨</w:t>
            </w:r>
          </w:p>
          <w:p>
            <w:pPr>
              <w:spacing w:line="340" w:lineRule="exact"/>
              <w:jc w:val="center"/>
              <w:rPr>
                <w:rFonts w:cs="仿宋_GB2312"/>
              </w:rPr>
            </w:pPr>
            <w:r>
              <w:rPr>
                <w:rFonts w:hint="eastAsia" w:cs="仿宋_GB2312"/>
              </w:rPr>
              <w:t>枇杷等果树</w:t>
            </w:r>
          </w:p>
        </w:tc>
        <w:tc>
          <w:tcPr>
            <w:tcW w:w="2764" w:type="dxa"/>
            <w:vAlign w:val="center"/>
          </w:tcPr>
          <w:p>
            <w:pPr>
              <w:spacing w:line="340" w:lineRule="exact"/>
              <w:jc w:val="center"/>
              <w:rPr>
                <w:rFonts w:cs="仿宋_GB2312"/>
              </w:rPr>
            </w:pPr>
            <w:r>
              <w:rPr>
                <w:rFonts w:hint="eastAsia" w:cs="仿宋_GB2312"/>
              </w:rPr>
              <w:t>幼龄期</w:t>
            </w:r>
          </w:p>
        </w:tc>
        <w:tc>
          <w:tcPr>
            <w:tcW w:w="2580" w:type="dxa"/>
            <w:vAlign w:val="center"/>
          </w:tcPr>
          <w:p>
            <w:pPr>
              <w:spacing w:line="340" w:lineRule="exact"/>
              <w:jc w:val="center"/>
              <w:rPr>
                <w:rFonts w:cs="仿宋_GB2312"/>
              </w:rPr>
            </w:pPr>
            <w:r>
              <w:rPr>
                <w:rFonts w:hint="eastAsia" w:cs="仿宋_GB2312"/>
              </w:rPr>
              <w:t>15元/株</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始果期</w:t>
            </w:r>
          </w:p>
        </w:tc>
        <w:tc>
          <w:tcPr>
            <w:tcW w:w="2580" w:type="dxa"/>
            <w:vAlign w:val="center"/>
          </w:tcPr>
          <w:p>
            <w:pPr>
              <w:spacing w:line="340" w:lineRule="exact"/>
              <w:jc w:val="center"/>
              <w:rPr>
                <w:rFonts w:cs="仿宋_GB2312"/>
              </w:rPr>
            </w:pPr>
            <w:r>
              <w:rPr>
                <w:rFonts w:hint="eastAsia" w:cs="仿宋_GB2312"/>
              </w:rPr>
              <w:t>45元/株</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盛果期</w:t>
            </w:r>
          </w:p>
        </w:tc>
        <w:tc>
          <w:tcPr>
            <w:tcW w:w="2580" w:type="dxa"/>
            <w:vAlign w:val="center"/>
          </w:tcPr>
          <w:p>
            <w:pPr>
              <w:spacing w:line="340" w:lineRule="exact"/>
              <w:jc w:val="center"/>
              <w:rPr>
                <w:rFonts w:cs="仿宋_GB2312"/>
              </w:rPr>
            </w:pPr>
            <w:r>
              <w:rPr>
                <w:rFonts w:hint="eastAsia" w:cs="仿宋_GB2312"/>
              </w:rPr>
              <w:t>70元/株</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衰退期</w:t>
            </w:r>
          </w:p>
        </w:tc>
        <w:tc>
          <w:tcPr>
            <w:tcW w:w="2580" w:type="dxa"/>
            <w:vAlign w:val="center"/>
          </w:tcPr>
          <w:p>
            <w:pPr>
              <w:spacing w:line="340" w:lineRule="exact"/>
              <w:jc w:val="center"/>
              <w:rPr>
                <w:rFonts w:cs="仿宋_GB2312"/>
              </w:rPr>
            </w:pPr>
            <w:r>
              <w:rPr>
                <w:rFonts w:hint="eastAsia" w:cs="仿宋_GB2312"/>
              </w:rPr>
              <w:t>40元/株</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restart"/>
            <w:vAlign w:val="center"/>
          </w:tcPr>
          <w:p>
            <w:pPr>
              <w:spacing w:line="340" w:lineRule="exact"/>
              <w:jc w:val="center"/>
              <w:rPr>
                <w:rFonts w:cs="仿宋_GB2312"/>
              </w:rPr>
            </w:pPr>
            <w:r>
              <w:rPr>
                <w:rFonts w:hint="eastAsia" w:cs="仿宋_GB2312"/>
              </w:rPr>
              <w:t>杨梅</w:t>
            </w:r>
          </w:p>
        </w:tc>
        <w:tc>
          <w:tcPr>
            <w:tcW w:w="2764" w:type="dxa"/>
            <w:vAlign w:val="center"/>
          </w:tcPr>
          <w:p>
            <w:pPr>
              <w:spacing w:line="340" w:lineRule="exact"/>
              <w:jc w:val="center"/>
              <w:rPr>
                <w:rFonts w:cs="仿宋_GB2312"/>
              </w:rPr>
            </w:pPr>
            <w:r>
              <w:rPr>
                <w:rFonts w:hint="eastAsia" w:cs="仿宋_GB2312"/>
              </w:rPr>
              <w:t>幼龄期</w:t>
            </w:r>
          </w:p>
        </w:tc>
        <w:tc>
          <w:tcPr>
            <w:tcW w:w="2580" w:type="dxa"/>
            <w:vAlign w:val="center"/>
          </w:tcPr>
          <w:p>
            <w:pPr>
              <w:spacing w:line="340" w:lineRule="exact"/>
              <w:jc w:val="center"/>
              <w:rPr>
                <w:rFonts w:cs="仿宋_GB2312"/>
              </w:rPr>
            </w:pPr>
            <w:r>
              <w:rPr>
                <w:rFonts w:hint="eastAsia" w:cs="仿宋_GB2312"/>
              </w:rPr>
              <w:t>40元/株</w:t>
            </w:r>
          </w:p>
        </w:tc>
        <w:tc>
          <w:tcPr>
            <w:tcW w:w="2027" w:type="dxa"/>
            <w:vMerge w:val="restart"/>
            <w:vAlign w:val="center"/>
          </w:tcPr>
          <w:p>
            <w:pPr>
              <w:spacing w:line="340" w:lineRule="exact"/>
              <w:jc w:val="center"/>
              <w:rPr>
                <w:rFonts w:cs="仿宋_GB2312"/>
              </w:rPr>
            </w:pPr>
            <w:r>
              <w:rPr>
                <w:rFonts w:hint="eastAsia" w:cs="仿宋_GB2312"/>
              </w:rPr>
              <w:t>每亩不超过30株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始果期</w:t>
            </w:r>
          </w:p>
        </w:tc>
        <w:tc>
          <w:tcPr>
            <w:tcW w:w="2580" w:type="dxa"/>
            <w:vAlign w:val="center"/>
          </w:tcPr>
          <w:p>
            <w:pPr>
              <w:spacing w:line="340" w:lineRule="exact"/>
              <w:jc w:val="center"/>
              <w:rPr>
                <w:rFonts w:cs="仿宋_GB2312"/>
              </w:rPr>
            </w:pPr>
            <w:r>
              <w:rPr>
                <w:rFonts w:hint="eastAsia" w:cs="仿宋_GB2312"/>
              </w:rPr>
              <w:t>120元/株</w:t>
            </w:r>
          </w:p>
        </w:tc>
        <w:tc>
          <w:tcPr>
            <w:tcW w:w="2027" w:type="dxa"/>
            <w:vMerge w:val="continue"/>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盛果期</w:t>
            </w:r>
          </w:p>
        </w:tc>
        <w:tc>
          <w:tcPr>
            <w:tcW w:w="2580" w:type="dxa"/>
            <w:vAlign w:val="center"/>
          </w:tcPr>
          <w:p>
            <w:pPr>
              <w:spacing w:line="340" w:lineRule="exact"/>
              <w:jc w:val="center"/>
              <w:rPr>
                <w:rFonts w:cs="仿宋_GB2312"/>
              </w:rPr>
            </w:pPr>
            <w:r>
              <w:rPr>
                <w:rFonts w:hint="eastAsia" w:cs="仿宋_GB2312"/>
              </w:rPr>
              <w:t>240元/株</w:t>
            </w:r>
          </w:p>
        </w:tc>
        <w:tc>
          <w:tcPr>
            <w:tcW w:w="2027" w:type="dxa"/>
            <w:vMerge w:val="continue"/>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Merge w:val="continue"/>
            <w:vAlign w:val="center"/>
          </w:tcPr>
          <w:p>
            <w:pPr>
              <w:spacing w:line="340" w:lineRule="exact"/>
              <w:jc w:val="center"/>
              <w:rPr>
                <w:rFonts w:cs="仿宋_GB2312"/>
              </w:rPr>
            </w:pPr>
          </w:p>
        </w:tc>
        <w:tc>
          <w:tcPr>
            <w:tcW w:w="2764" w:type="dxa"/>
            <w:vAlign w:val="center"/>
          </w:tcPr>
          <w:p>
            <w:pPr>
              <w:spacing w:line="340" w:lineRule="exact"/>
              <w:jc w:val="center"/>
              <w:rPr>
                <w:rFonts w:cs="仿宋_GB2312"/>
              </w:rPr>
            </w:pPr>
            <w:r>
              <w:rPr>
                <w:rFonts w:hint="eastAsia" w:cs="仿宋_GB2312"/>
              </w:rPr>
              <w:t>衰退期</w:t>
            </w:r>
          </w:p>
        </w:tc>
        <w:tc>
          <w:tcPr>
            <w:tcW w:w="2580" w:type="dxa"/>
            <w:vAlign w:val="center"/>
          </w:tcPr>
          <w:p>
            <w:pPr>
              <w:spacing w:line="340" w:lineRule="exact"/>
              <w:jc w:val="center"/>
              <w:rPr>
                <w:rFonts w:cs="仿宋_GB2312"/>
              </w:rPr>
            </w:pPr>
            <w:r>
              <w:rPr>
                <w:rFonts w:hint="eastAsia" w:cs="仿宋_GB2312"/>
              </w:rPr>
              <w:t>120元/株</w:t>
            </w:r>
          </w:p>
        </w:tc>
        <w:tc>
          <w:tcPr>
            <w:tcW w:w="2027" w:type="dxa"/>
            <w:vMerge w:val="continue"/>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Align w:val="center"/>
          </w:tcPr>
          <w:p>
            <w:pPr>
              <w:spacing w:line="340" w:lineRule="exact"/>
              <w:jc w:val="center"/>
              <w:rPr>
                <w:rFonts w:cs="仿宋_GB2312"/>
              </w:rPr>
            </w:pPr>
            <w:r>
              <w:rPr>
                <w:rFonts w:hint="eastAsia" w:cs="仿宋_GB2312"/>
              </w:rPr>
              <w:t>毛竹</w:t>
            </w:r>
          </w:p>
        </w:tc>
        <w:tc>
          <w:tcPr>
            <w:tcW w:w="2764" w:type="dxa"/>
            <w:vAlign w:val="center"/>
          </w:tcPr>
          <w:p>
            <w:pPr>
              <w:spacing w:line="340" w:lineRule="exact"/>
              <w:jc w:val="center"/>
              <w:rPr>
                <w:rFonts w:cs="仿宋_GB2312"/>
              </w:rPr>
            </w:pPr>
          </w:p>
        </w:tc>
        <w:tc>
          <w:tcPr>
            <w:tcW w:w="2580" w:type="dxa"/>
            <w:vAlign w:val="center"/>
          </w:tcPr>
          <w:p>
            <w:pPr>
              <w:spacing w:line="340" w:lineRule="exact"/>
              <w:jc w:val="center"/>
              <w:rPr>
                <w:rFonts w:cs="仿宋_GB2312"/>
              </w:rPr>
            </w:pPr>
            <w:r>
              <w:rPr>
                <w:rFonts w:hint="eastAsia" w:cs="仿宋_GB2312"/>
              </w:rPr>
              <w:t>30元/100斤</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Align w:val="center"/>
          </w:tcPr>
          <w:p>
            <w:pPr>
              <w:spacing w:line="340" w:lineRule="exact"/>
              <w:jc w:val="center"/>
              <w:rPr>
                <w:rFonts w:cs="仿宋_GB2312"/>
              </w:rPr>
            </w:pPr>
            <w:r>
              <w:rPr>
                <w:rFonts w:hint="eastAsia" w:cs="仿宋_GB2312"/>
              </w:rPr>
              <w:t>水竹</w:t>
            </w:r>
          </w:p>
        </w:tc>
        <w:tc>
          <w:tcPr>
            <w:tcW w:w="2764" w:type="dxa"/>
            <w:vAlign w:val="center"/>
          </w:tcPr>
          <w:p>
            <w:pPr>
              <w:spacing w:line="340" w:lineRule="exact"/>
              <w:jc w:val="center"/>
              <w:rPr>
                <w:rFonts w:cs="仿宋_GB2312"/>
              </w:rPr>
            </w:pPr>
          </w:p>
        </w:tc>
        <w:tc>
          <w:tcPr>
            <w:tcW w:w="2580" w:type="dxa"/>
            <w:vAlign w:val="center"/>
          </w:tcPr>
          <w:p>
            <w:pPr>
              <w:spacing w:line="340" w:lineRule="exact"/>
              <w:jc w:val="center"/>
              <w:rPr>
                <w:rFonts w:cs="仿宋_GB2312"/>
              </w:rPr>
            </w:pPr>
            <w:r>
              <w:rPr>
                <w:rFonts w:hint="eastAsia" w:cs="仿宋_GB2312"/>
              </w:rPr>
              <w:t>20元/100斤</w:t>
            </w:r>
          </w:p>
        </w:tc>
        <w:tc>
          <w:tcPr>
            <w:tcW w:w="2027" w:type="dxa"/>
            <w:vAlign w:val="center"/>
          </w:tcPr>
          <w:p>
            <w:pPr>
              <w:spacing w:line="340" w:lineRule="exact"/>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Align w:val="center"/>
          </w:tcPr>
          <w:p>
            <w:pPr>
              <w:spacing w:line="340" w:lineRule="exact"/>
              <w:jc w:val="center"/>
              <w:rPr>
                <w:rFonts w:cs="仿宋_GB2312"/>
              </w:rPr>
            </w:pPr>
            <w:r>
              <w:rPr>
                <w:rFonts w:hint="eastAsia" w:cs="仿宋_GB2312"/>
              </w:rPr>
              <w:t>绿竹</w:t>
            </w:r>
          </w:p>
        </w:tc>
        <w:tc>
          <w:tcPr>
            <w:tcW w:w="2764" w:type="dxa"/>
            <w:vAlign w:val="center"/>
          </w:tcPr>
          <w:p>
            <w:pPr>
              <w:spacing w:line="340" w:lineRule="exact"/>
              <w:jc w:val="center"/>
              <w:rPr>
                <w:rFonts w:cs="仿宋_GB2312"/>
              </w:rPr>
            </w:pPr>
            <w:r>
              <w:rPr>
                <w:rFonts w:hint="eastAsia"/>
                <w:color w:val="000000"/>
              </w:rPr>
              <w:t>新栽植</w:t>
            </w:r>
          </w:p>
        </w:tc>
        <w:tc>
          <w:tcPr>
            <w:tcW w:w="2580" w:type="dxa"/>
            <w:vAlign w:val="center"/>
          </w:tcPr>
          <w:p>
            <w:pPr>
              <w:spacing w:line="340" w:lineRule="exact"/>
              <w:jc w:val="center"/>
              <w:rPr>
                <w:rFonts w:cs="仿宋_GB2312"/>
              </w:rPr>
            </w:pPr>
            <w:r>
              <w:rPr>
                <w:rFonts w:hint="eastAsia"/>
                <w:color w:val="000000"/>
              </w:rPr>
              <w:t>300元/亩</w:t>
            </w:r>
          </w:p>
        </w:tc>
        <w:tc>
          <w:tcPr>
            <w:tcW w:w="2027" w:type="dxa"/>
            <w:vAlign w:val="center"/>
          </w:tcPr>
          <w:p>
            <w:pPr>
              <w:spacing w:line="340" w:lineRule="exact"/>
              <w:jc w:val="center"/>
              <w:rPr>
                <w:color w:val="000000"/>
              </w:rPr>
            </w:pPr>
            <w:r>
              <w:rPr>
                <w:rFonts w:hint="eastAsia"/>
                <w:color w:val="000000"/>
              </w:rPr>
              <w:t>每亩丛数</w:t>
            </w:r>
          </w:p>
          <w:p>
            <w:pPr>
              <w:spacing w:line="340" w:lineRule="exact"/>
              <w:jc w:val="center"/>
              <w:rPr>
                <w:rFonts w:cs="仿宋_GB2312"/>
              </w:rPr>
            </w:pPr>
            <w:r>
              <w:rPr>
                <w:rFonts w:hint="eastAsia"/>
                <w:color w:val="000000"/>
              </w:rPr>
              <w:t>以40丛为准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blCellSpacing w:w="0" w:type="dxa"/>
        </w:trPr>
        <w:tc>
          <w:tcPr>
            <w:tcW w:w="1669" w:type="dxa"/>
            <w:vAlign w:val="center"/>
          </w:tcPr>
          <w:p>
            <w:pPr>
              <w:spacing w:line="340" w:lineRule="exact"/>
              <w:jc w:val="center"/>
              <w:rPr>
                <w:rFonts w:cs="仿宋_GB2312"/>
              </w:rPr>
            </w:pPr>
            <w:r>
              <w:rPr>
                <w:rFonts w:hint="eastAsia" w:cs="仿宋_GB2312"/>
              </w:rPr>
              <w:t>马蹄笋竹</w:t>
            </w:r>
          </w:p>
        </w:tc>
        <w:tc>
          <w:tcPr>
            <w:tcW w:w="2764" w:type="dxa"/>
            <w:vAlign w:val="center"/>
          </w:tcPr>
          <w:p>
            <w:pPr>
              <w:spacing w:line="340" w:lineRule="exact"/>
              <w:jc w:val="center"/>
              <w:rPr>
                <w:rFonts w:cs="仿宋_GB2312"/>
              </w:rPr>
            </w:pPr>
          </w:p>
        </w:tc>
        <w:tc>
          <w:tcPr>
            <w:tcW w:w="2580" w:type="dxa"/>
            <w:vAlign w:val="center"/>
          </w:tcPr>
          <w:p>
            <w:pPr>
              <w:spacing w:line="340" w:lineRule="exact"/>
              <w:jc w:val="center"/>
              <w:rPr>
                <w:rFonts w:cs="仿宋_GB2312"/>
              </w:rPr>
            </w:pPr>
            <w:r>
              <w:rPr>
                <w:rFonts w:hint="eastAsia" w:cs="仿宋_GB2312"/>
              </w:rPr>
              <w:t>300元/亩</w:t>
            </w:r>
          </w:p>
        </w:tc>
        <w:tc>
          <w:tcPr>
            <w:tcW w:w="2027" w:type="dxa"/>
            <w:vAlign w:val="center"/>
          </w:tcPr>
          <w:p>
            <w:pPr>
              <w:spacing w:line="340" w:lineRule="exact"/>
              <w:jc w:val="center"/>
              <w:rPr>
                <w:rFonts w:cs="仿宋_GB2312"/>
              </w:rPr>
            </w:pPr>
            <w:r>
              <w:rPr>
                <w:rFonts w:hint="eastAsia" w:cs="仿宋_GB2312"/>
              </w:rPr>
              <w:t>每亩丛数</w:t>
            </w:r>
          </w:p>
          <w:p>
            <w:pPr>
              <w:spacing w:line="340" w:lineRule="exact"/>
              <w:jc w:val="center"/>
              <w:rPr>
                <w:rFonts w:cs="仿宋_GB2312"/>
              </w:rPr>
            </w:pPr>
            <w:r>
              <w:rPr>
                <w:rFonts w:hint="eastAsia" w:cs="仿宋_GB2312"/>
              </w:rPr>
              <w:t>以40丛为准</w:t>
            </w:r>
          </w:p>
        </w:tc>
      </w:tr>
    </w:tbl>
    <w:p>
      <w:pPr>
        <w:spacing w:line="560" w:lineRule="exact"/>
      </w:pPr>
      <w:r>
        <w:rPr>
          <w:rFonts w:hint="eastAsia" w:ascii="黑体" w:hAnsi="黑体" w:eastAsia="黑体"/>
          <w:szCs w:val="32"/>
        </w:rPr>
        <w:t xml:space="preserve">  </w:t>
      </w:r>
      <w:r>
        <w:rPr>
          <w:rFonts w:hint="eastAsia"/>
        </w:rPr>
        <w:t>说明：未规定的按实际作价或评估作价予以补偿。</w:t>
      </w:r>
    </w:p>
    <w:p>
      <w:pPr>
        <w:spacing w:line="560" w:lineRule="exact"/>
        <w:rPr>
          <w:rFonts w:hint="eastAsia" w:ascii="仿宋_GB2312" w:eastAsia="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C22BF"/>
    <w:rsid w:val="02CF04D5"/>
    <w:rsid w:val="0C8C22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2018-08-24T01:05:00Z</dcterms:created>
  <dc:creator>qzuser</dc:creator>
  <cp:lastModifiedBy>qzuser</cp:lastModifiedBy>
  <dcterms:modified xsi:type="dcterms:W3CDTF">2018-08-24T01:22:37Z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