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4F8" w:rsidRDefault="00B344F8" w:rsidP="00B344F8">
      <w:pPr>
        <w:spacing w:line="660" w:lineRule="exact"/>
        <w:rPr>
          <w:rStyle w:val="a4"/>
          <w:rFonts w:ascii="Times New Roman" w:eastAsia="CESI黑体-GB2312" w:hAnsi="Times New Roman"/>
          <w:color w:val="000000"/>
          <w:sz w:val="32"/>
          <w:szCs w:val="32"/>
        </w:rPr>
      </w:pPr>
      <w:r>
        <w:rPr>
          <w:rStyle w:val="a4"/>
          <w:rFonts w:ascii="Times New Roman" w:eastAsia="CESI黑体-GB2312" w:hAnsi="Times New Roman"/>
          <w:color w:val="000000"/>
          <w:sz w:val="32"/>
          <w:szCs w:val="32"/>
        </w:rPr>
        <w:t>附件</w:t>
      </w:r>
      <w:r>
        <w:rPr>
          <w:rStyle w:val="a4"/>
          <w:rFonts w:ascii="Times New Roman" w:eastAsia="CESI黑体-GB2312" w:hAnsi="Times New Roman"/>
          <w:color w:val="000000"/>
          <w:sz w:val="32"/>
          <w:szCs w:val="32"/>
        </w:rPr>
        <w:t>4</w:t>
      </w:r>
    </w:p>
    <w:p w:rsidR="00B344F8" w:rsidRDefault="00B344F8" w:rsidP="00B344F8">
      <w:pPr>
        <w:spacing w:line="6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2023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年高级工程师职务任职资格评分调整前后对比表</w:t>
      </w:r>
    </w:p>
    <w:p w:rsidR="00B344F8" w:rsidRDefault="00B344F8" w:rsidP="00B344F8">
      <w:pPr>
        <w:spacing w:line="660" w:lineRule="exact"/>
        <w:ind w:firstLineChars="500" w:firstLine="2200"/>
        <w:rPr>
          <w:rFonts w:ascii="Times New Roman" w:eastAsia="方正小标宋简体" w:hAnsi="Times New Roman"/>
          <w:sz w:val="44"/>
          <w:szCs w:val="44"/>
        </w:rPr>
      </w:pPr>
    </w:p>
    <w:tbl>
      <w:tblPr>
        <w:tblStyle w:val="a3"/>
        <w:tblW w:w="14354" w:type="dxa"/>
        <w:tblInd w:w="-368" w:type="dxa"/>
        <w:tblLook w:val="0000" w:firstRow="0" w:lastRow="0" w:firstColumn="0" w:lastColumn="0" w:noHBand="0" w:noVBand="0"/>
      </w:tblPr>
      <w:tblGrid>
        <w:gridCol w:w="660"/>
        <w:gridCol w:w="3502"/>
        <w:gridCol w:w="2170"/>
        <w:gridCol w:w="1712"/>
        <w:gridCol w:w="2047"/>
        <w:gridCol w:w="1579"/>
        <w:gridCol w:w="2684"/>
      </w:tblGrid>
      <w:tr w:rsidR="00B344F8" w:rsidTr="00413C86">
        <w:trPr>
          <w:trHeight w:val="700"/>
        </w:trPr>
        <w:tc>
          <w:tcPr>
            <w:tcW w:w="660" w:type="dxa"/>
            <w:vMerge w:val="restart"/>
            <w:vAlign w:val="center"/>
          </w:tcPr>
          <w:p w:rsidR="00B344F8" w:rsidRDefault="00B344F8" w:rsidP="00413C8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502" w:type="dxa"/>
            <w:vMerge w:val="restart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调整业绩</w:t>
            </w:r>
          </w:p>
        </w:tc>
        <w:tc>
          <w:tcPr>
            <w:tcW w:w="3882" w:type="dxa"/>
            <w:gridSpan w:val="2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主持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第一作者、第一发明人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26" w:type="dxa"/>
            <w:gridSpan w:val="2"/>
            <w:vAlign w:val="center"/>
          </w:tcPr>
          <w:p w:rsidR="00B344F8" w:rsidRDefault="00B344F8" w:rsidP="00413C8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参与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主要发明人、参编）</w:t>
            </w:r>
          </w:p>
        </w:tc>
        <w:tc>
          <w:tcPr>
            <w:tcW w:w="2684" w:type="dxa"/>
            <w:vMerge w:val="restart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备注</w:t>
            </w:r>
          </w:p>
        </w:tc>
      </w:tr>
      <w:tr w:rsidR="00B344F8" w:rsidTr="00413C86">
        <w:trPr>
          <w:trHeight w:val="530"/>
        </w:trPr>
        <w:tc>
          <w:tcPr>
            <w:tcW w:w="660" w:type="dxa"/>
            <w:vMerge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502" w:type="dxa"/>
            <w:vMerge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调整前</w:t>
            </w:r>
          </w:p>
        </w:tc>
        <w:tc>
          <w:tcPr>
            <w:tcW w:w="1712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调整后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调整前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调整后</w:t>
            </w:r>
          </w:p>
        </w:tc>
        <w:tc>
          <w:tcPr>
            <w:tcW w:w="2684" w:type="dxa"/>
            <w:vMerge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344F8" w:rsidTr="00413C86">
        <w:trPr>
          <w:trHeight w:val="796"/>
        </w:trPr>
        <w:tc>
          <w:tcPr>
            <w:tcW w:w="14354" w:type="dxa"/>
            <w:gridSpan w:val="7"/>
            <w:vAlign w:val="center"/>
          </w:tcPr>
          <w:p w:rsidR="00B344F8" w:rsidRDefault="00B344F8" w:rsidP="00413C86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一、论文著作</w:t>
            </w:r>
          </w:p>
        </w:tc>
      </w:tr>
      <w:tr w:rsidR="00B344F8" w:rsidTr="00413C86">
        <w:trPr>
          <w:trHeight w:val="921"/>
        </w:trPr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发表在国家核心期刊、正式出版的专著或译著</w:t>
            </w:r>
          </w:p>
        </w:tc>
        <w:tc>
          <w:tcPr>
            <w:tcW w:w="2170" w:type="dxa"/>
            <w:vMerge w:val="restart"/>
            <w:vAlign w:val="center"/>
          </w:tcPr>
          <w:p w:rsidR="00B344F8" w:rsidRDefault="00B344F8" w:rsidP="00413C8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分值为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分（其中数量分为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分、水平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分），期刊不分等级。</w:t>
            </w:r>
          </w:p>
        </w:tc>
        <w:tc>
          <w:tcPr>
            <w:tcW w:w="1712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</w:t>
            </w:r>
          </w:p>
        </w:tc>
        <w:tc>
          <w:tcPr>
            <w:tcW w:w="2047" w:type="dxa"/>
            <w:vMerge w:val="restart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</w:p>
        </w:tc>
        <w:tc>
          <w:tcPr>
            <w:tcW w:w="1579" w:type="dxa"/>
            <w:vMerge w:val="restart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</w:p>
        </w:tc>
        <w:tc>
          <w:tcPr>
            <w:tcW w:w="2684" w:type="dxa"/>
            <w:vMerge w:val="restart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由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分调整为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分；</w:t>
            </w:r>
          </w:p>
          <w:p w:rsidR="00B344F8" w:rsidRDefault="00B344F8" w:rsidP="00413C86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非第一作者的论文、论文著作内容与申报专业不一致或不相近的均为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分；</w:t>
            </w:r>
          </w:p>
          <w:p w:rsidR="00B344F8" w:rsidRDefault="00B344F8" w:rsidP="00413C86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取消论文数量赋分。</w:t>
            </w:r>
          </w:p>
        </w:tc>
      </w:tr>
      <w:tr w:rsidR="00B344F8" w:rsidTr="00413C86">
        <w:trPr>
          <w:trHeight w:val="1340"/>
        </w:trPr>
        <w:tc>
          <w:tcPr>
            <w:tcW w:w="660" w:type="dxa"/>
            <w:vAlign w:val="center"/>
          </w:tcPr>
          <w:p w:rsidR="00B344F8" w:rsidRDefault="00B344F8" w:rsidP="00413C8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发表在省部级重点期刊或省部级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专术学术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会上交流并被编入出版论文集</w:t>
            </w:r>
          </w:p>
        </w:tc>
        <w:tc>
          <w:tcPr>
            <w:tcW w:w="2170" w:type="dxa"/>
            <w:vMerge/>
            <w:vAlign w:val="center"/>
          </w:tcPr>
          <w:p w:rsidR="00B344F8" w:rsidRDefault="00B344F8" w:rsidP="00413C8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</w:t>
            </w:r>
          </w:p>
        </w:tc>
        <w:tc>
          <w:tcPr>
            <w:tcW w:w="2047" w:type="dxa"/>
            <w:vMerge/>
            <w:vAlign w:val="center"/>
          </w:tcPr>
          <w:p w:rsidR="00B344F8" w:rsidRDefault="00B344F8" w:rsidP="00413C8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vAlign w:val="center"/>
          </w:tcPr>
          <w:p w:rsidR="00B344F8" w:rsidRDefault="00B344F8" w:rsidP="00413C8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vAlign w:val="center"/>
          </w:tcPr>
          <w:p w:rsidR="00B344F8" w:rsidRDefault="00B344F8" w:rsidP="00413C8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344F8" w:rsidTr="00413C86">
        <w:trPr>
          <w:trHeight w:val="1789"/>
        </w:trPr>
        <w:tc>
          <w:tcPr>
            <w:tcW w:w="660" w:type="dxa"/>
            <w:vAlign w:val="center"/>
          </w:tcPr>
          <w:p w:rsidR="00B344F8" w:rsidRDefault="00B344F8" w:rsidP="00413C8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发表在一般期刊、本行业的准字号刊物</w:t>
            </w:r>
          </w:p>
        </w:tc>
        <w:tc>
          <w:tcPr>
            <w:tcW w:w="2170" w:type="dxa"/>
            <w:vMerge/>
            <w:vAlign w:val="center"/>
          </w:tcPr>
          <w:p w:rsidR="00B344F8" w:rsidRDefault="00B344F8" w:rsidP="00413C8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1-3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</w:t>
            </w:r>
          </w:p>
        </w:tc>
        <w:tc>
          <w:tcPr>
            <w:tcW w:w="2047" w:type="dxa"/>
            <w:vMerge/>
            <w:vAlign w:val="center"/>
          </w:tcPr>
          <w:p w:rsidR="00B344F8" w:rsidRDefault="00B344F8" w:rsidP="00413C8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vAlign w:val="center"/>
          </w:tcPr>
          <w:p w:rsidR="00B344F8" w:rsidRDefault="00B344F8" w:rsidP="00413C8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vAlign w:val="center"/>
          </w:tcPr>
          <w:p w:rsidR="00B344F8" w:rsidRDefault="00B344F8" w:rsidP="00413C8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344F8" w:rsidTr="00413C86">
        <w:trPr>
          <w:trHeight w:val="740"/>
        </w:trPr>
        <w:tc>
          <w:tcPr>
            <w:tcW w:w="14354" w:type="dxa"/>
            <w:gridSpan w:val="7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lastRenderedPageBreak/>
              <w:t>二、专利</w:t>
            </w:r>
          </w:p>
        </w:tc>
      </w:tr>
      <w:tr w:rsidR="00B344F8" w:rsidTr="00413C86">
        <w:trPr>
          <w:trHeight w:val="800"/>
        </w:trPr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发明</w:t>
            </w:r>
          </w:p>
        </w:tc>
        <w:tc>
          <w:tcPr>
            <w:tcW w:w="2170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分每项</w:t>
            </w:r>
          </w:p>
        </w:tc>
        <w:tc>
          <w:tcPr>
            <w:tcW w:w="1712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分每项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分每项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分每项</w:t>
            </w:r>
          </w:p>
        </w:tc>
        <w:tc>
          <w:tcPr>
            <w:tcW w:w="2684" w:type="dxa"/>
            <w:vMerge w:val="restart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分值由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分调整为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分；</w:t>
            </w:r>
          </w:p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若未提供其在工程中应用并取得实效的第三方证明材料的为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分。</w:t>
            </w:r>
          </w:p>
        </w:tc>
      </w:tr>
      <w:tr w:rsidR="00B344F8" w:rsidTr="00413C86">
        <w:trPr>
          <w:trHeight w:val="755"/>
        </w:trPr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实用新型</w:t>
            </w:r>
          </w:p>
        </w:tc>
        <w:tc>
          <w:tcPr>
            <w:tcW w:w="2170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分每项</w:t>
            </w:r>
          </w:p>
        </w:tc>
        <w:tc>
          <w:tcPr>
            <w:tcW w:w="1712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分每项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分每项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分每项</w:t>
            </w:r>
          </w:p>
        </w:tc>
        <w:tc>
          <w:tcPr>
            <w:tcW w:w="2684" w:type="dxa"/>
            <w:vMerge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344F8" w:rsidTr="00413C86">
        <w:trPr>
          <w:trHeight w:val="815"/>
        </w:trPr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软件著作权</w:t>
            </w:r>
          </w:p>
        </w:tc>
        <w:tc>
          <w:tcPr>
            <w:tcW w:w="2170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分每项</w:t>
            </w:r>
          </w:p>
        </w:tc>
        <w:tc>
          <w:tcPr>
            <w:tcW w:w="1712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分每项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分每项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分每项</w:t>
            </w:r>
          </w:p>
        </w:tc>
        <w:tc>
          <w:tcPr>
            <w:tcW w:w="2684" w:type="dxa"/>
            <w:vMerge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344F8" w:rsidTr="00413C86">
        <w:trPr>
          <w:trHeight w:val="815"/>
        </w:trPr>
        <w:tc>
          <w:tcPr>
            <w:tcW w:w="14354" w:type="dxa"/>
            <w:gridSpan w:val="7"/>
            <w:vAlign w:val="center"/>
          </w:tcPr>
          <w:p w:rsidR="00B344F8" w:rsidRDefault="00B344F8" w:rsidP="00413C86">
            <w:pPr>
              <w:spacing w:line="6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三、科研</w:t>
            </w:r>
          </w:p>
        </w:tc>
      </w:tr>
      <w:tr w:rsidR="00B344F8" w:rsidTr="00413C86">
        <w:trPr>
          <w:trHeight w:val="850"/>
        </w:trPr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省部级及以上</w:t>
            </w:r>
          </w:p>
        </w:tc>
        <w:tc>
          <w:tcPr>
            <w:tcW w:w="3882" w:type="dxa"/>
            <w:gridSpan w:val="2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无变化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无名额限制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限定前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8-15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684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344F8" w:rsidTr="00413C86">
        <w:trPr>
          <w:trHeight w:val="955"/>
        </w:trPr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设区市（厅）级</w:t>
            </w:r>
          </w:p>
        </w:tc>
        <w:tc>
          <w:tcPr>
            <w:tcW w:w="3882" w:type="dxa"/>
            <w:gridSpan w:val="2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无变化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无名额限制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限定前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6-12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684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344F8" w:rsidTr="00413C86">
        <w:trPr>
          <w:trHeight w:val="1020"/>
        </w:trPr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县（市、区）级</w:t>
            </w:r>
          </w:p>
        </w:tc>
        <w:tc>
          <w:tcPr>
            <w:tcW w:w="3882" w:type="dxa"/>
            <w:gridSpan w:val="2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无变化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无名额限制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限定前</w:t>
            </w:r>
          </w:p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4-8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684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344F8" w:rsidTr="00413C86">
        <w:trPr>
          <w:trHeight w:val="760"/>
        </w:trPr>
        <w:tc>
          <w:tcPr>
            <w:tcW w:w="14354" w:type="dxa"/>
            <w:gridSpan w:val="7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四、科技奖</w:t>
            </w:r>
          </w:p>
        </w:tc>
      </w:tr>
      <w:tr w:rsidR="00B344F8" w:rsidTr="00413C86">
        <w:trPr>
          <w:trHeight w:val="975"/>
        </w:trPr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省科技二等奖</w:t>
            </w:r>
          </w:p>
        </w:tc>
        <w:tc>
          <w:tcPr>
            <w:tcW w:w="3882" w:type="dxa"/>
            <w:gridSpan w:val="2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无变化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无名额限制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限定前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8-15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684" w:type="dxa"/>
            <w:vAlign w:val="center"/>
          </w:tcPr>
          <w:p w:rsidR="00B344F8" w:rsidRDefault="00B344F8" w:rsidP="00413C86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344F8" w:rsidTr="00413C86">
        <w:trPr>
          <w:trHeight w:val="689"/>
        </w:trPr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省科技三等奖</w:t>
            </w:r>
          </w:p>
        </w:tc>
        <w:tc>
          <w:tcPr>
            <w:tcW w:w="3882" w:type="dxa"/>
            <w:gridSpan w:val="2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无变化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无名额限制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限定前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6-12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684" w:type="dxa"/>
            <w:vAlign w:val="center"/>
          </w:tcPr>
          <w:p w:rsidR="00B344F8" w:rsidRDefault="00B344F8" w:rsidP="00413C86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344F8" w:rsidTr="00413C86">
        <w:trPr>
          <w:trHeight w:val="575"/>
        </w:trPr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设区市（厅）级科技一等奖</w:t>
            </w:r>
          </w:p>
        </w:tc>
        <w:tc>
          <w:tcPr>
            <w:tcW w:w="3882" w:type="dxa"/>
            <w:gridSpan w:val="2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无变化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无名额限制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限定前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4-15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684" w:type="dxa"/>
            <w:vAlign w:val="center"/>
          </w:tcPr>
          <w:p w:rsidR="00B344F8" w:rsidRDefault="00B344F8" w:rsidP="00413C86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344F8" w:rsidTr="00413C86">
        <w:trPr>
          <w:trHeight w:val="884"/>
        </w:trPr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设区市（厅）级科技二等奖</w:t>
            </w:r>
          </w:p>
        </w:tc>
        <w:tc>
          <w:tcPr>
            <w:tcW w:w="3882" w:type="dxa"/>
            <w:gridSpan w:val="2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无变化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无名额限制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限定前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3-12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684" w:type="dxa"/>
            <w:vAlign w:val="center"/>
          </w:tcPr>
          <w:p w:rsidR="00B344F8" w:rsidRDefault="00B344F8" w:rsidP="00413C86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344F8" w:rsidTr="00413C86">
        <w:trPr>
          <w:trHeight w:val="536"/>
        </w:trPr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设区市（厅）级科技三等奖</w:t>
            </w:r>
          </w:p>
        </w:tc>
        <w:tc>
          <w:tcPr>
            <w:tcW w:w="3882" w:type="dxa"/>
            <w:gridSpan w:val="2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无变化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无名额限制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限定前</w:t>
            </w:r>
          </w:p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4-8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684" w:type="dxa"/>
            <w:vAlign w:val="center"/>
          </w:tcPr>
          <w:p w:rsidR="00B344F8" w:rsidRDefault="00B344F8" w:rsidP="00413C86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344F8" w:rsidTr="00413C86">
        <w:trPr>
          <w:trHeight w:val="545"/>
        </w:trPr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县（市、区）级二等奖以上</w:t>
            </w:r>
          </w:p>
        </w:tc>
        <w:tc>
          <w:tcPr>
            <w:tcW w:w="3882" w:type="dxa"/>
            <w:gridSpan w:val="2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无变化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无名额限制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限定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前</w:t>
            </w:r>
          </w:p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4-8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684" w:type="dxa"/>
            <w:vAlign w:val="center"/>
          </w:tcPr>
          <w:p w:rsidR="00B344F8" w:rsidRDefault="00B344F8" w:rsidP="00413C86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344F8" w:rsidTr="00413C86">
        <w:trPr>
          <w:trHeight w:val="597"/>
        </w:trPr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县（市、区）级三等奖</w:t>
            </w:r>
          </w:p>
        </w:tc>
        <w:tc>
          <w:tcPr>
            <w:tcW w:w="3882" w:type="dxa"/>
            <w:gridSpan w:val="2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无变化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无名额限制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限定前</w:t>
            </w:r>
          </w:p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3-4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684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344F8" w:rsidTr="00413C86">
        <w:trPr>
          <w:trHeight w:val="620"/>
        </w:trPr>
        <w:tc>
          <w:tcPr>
            <w:tcW w:w="14354" w:type="dxa"/>
            <w:gridSpan w:val="7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lastRenderedPageBreak/>
              <w:t>五、标准</w:t>
            </w:r>
          </w:p>
        </w:tc>
      </w:tr>
      <w:tr w:rsidR="00B344F8" w:rsidTr="00413C86"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国家、行业、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地方标准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、全国统一定额、地方定额</w:t>
            </w:r>
          </w:p>
        </w:tc>
        <w:tc>
          <w:tcPr>
            <w:tcW w:w="3882" w:type="dxa"/>
            <w:gridSpan w:val="2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无变化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无名额限制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限定前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4-15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684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B344F8" w:rsidTr="00413C86"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团体标准、标准设计图集、地方定额、导则、技术规定</w:t>
            </w:r>
          </w:p>
        </w:tc>
        <w:tc>
          <w:tcPr>
            <w:tcW w:w="3882" w:type="dxa"/>
            <w:gridSpan w:val="2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无变化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无名额限制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限定前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4-12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684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B344F8" w:rsidTr="00413C86"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国家级工法</w:t>
            </w:r>
          </w:p>
        </w:tc>
        <w:tc>
          <w:tcPr>
            <w:tcW w:w="3882" w:type="dxa"/>
            <w:gridSpan w:val="2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无变化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无名额限制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限定前</w:t>
            </w:r>
          </w:p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2-5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684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B344F8" w:rsidTr="00413C86">
        <w:tc>
          <w:tcPr>
            <w:tcW w:w="660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3502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省级工法</w:t>
            </w:r>
          </w:p>
        </w:tc>
        <w:tc>
          <w:tcPr>
            <w:tcW w:w="3882" w:type="dxa"/>
            <w:gridSpan w:val="2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无变化</w:t>
            </w:r>
          </w:p>
        </w:tc>
        <w:tc>
          <w:tcPr>
            <w:tcW w:w="2047" w:type="dxa"/>
            <w:vAlign w:val="center"/>
          </w:tcPr>
          <w:p w:rsidR="00B344F8" w:rsidRDefault="00B344F8" w:rsidP="00413C86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无名额限制</w:t>
            </w:r>
          </w:p>
        </w:tc>
        <w:tc>
          <w:tcPr>
            <w:tcW w:w="1579" w:type="dxa"/>
            <w:vAlign w:val="center"/>
          </w:tcPr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限定前</w:t>
            </w:r>
          </w:p>
          <w:p w:rsidR="00B344F8" w:rsidRDefault="00B344F8" w:rsidP="00413C86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 w:val="en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-5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684" w:type="dxa"/>
            <w:vAlign w:val="center"/>
          </w:tcPr>
          <w:p w:rsidR="00B344F8" w:rsidRDefault="00B344F8" w:rsidP="00413C86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AB6E0F" w:rsidRDefault="00AB6E0F"/>
    <w:sectPr w:rsidR="00AB6E0F" w:rsidSect="00B344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SI黑体-GB2312">
    <w:altName w:val="微软雅黑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F8"/>
    <w:rsid w:val="00AB6E0F"/>
    <w:rsid w:val="00B3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09600-5C12-4312-B5FB-34ECF0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4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344F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344F8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2023-05-15T09:15:00Z</dcterms:created>
  <dcterms:modified xsi:type="dcterms:W3CDTF">2023-05-15T09:15:00Z</dcterms:modified>
</cp:coreProperties>
</file>