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val="0"/>
        <w:suppressLineNumbers w:val="0"/>
        <w:spacing w:before="0" w:beforeAutospacing="0" w:after="0" w:afterAutospacing="0"/>
        <w:ind w:left="0" w:right="0"/>
        <w:jc w:val="both"/>
        <w:rPr>
          <w:rFonts w:eastAsia="仿宋_GB2312"/>
          <w:sz w:val="28"/>
          <w:szCs w:val="24"/>
          <w:lang w:val="en-US"/>
        </w:rPr>
      </w:pPr>
    </w:p>
    <w:p>
      <w:pPr>
        <w:keepNext w:val="0"/>
        <w:keepLines w:val="0"/>
        <w:widowControl w:val="0"/>
        <w:suppressLineNumbers w:val="0"/>
        <w:spacing w:before="0" w:beforeAutospacing="0" w:after="0" w:afterAutospacing="0"/>
        <w:ind w:left="0" w:leftChars="0" w:right="0" w:firstLine="0" w:firstLineChars="0"/>
        <w:jc w:val="center"/>
        <w:rPr>
          <w:rFonts w:hint="eastAsia" w:ascii="方正小标宋简体" w:hAnsi="华文中宋" w:eastAsia="方正小标宋简体" w:cs="方正小标宋简体"/>
          <w:bCs/>
          <w:color w:val="FF0000"/>
          <w:spacing w:val="-20"/>
          <w:w w:val="75"/>
          <w:sz w:val="100"/>
          <w:szCs w:val="100"/>
          <w:lang w:val="en-US"/>
        </w:rPr>
      </w:pPr>
      <w:r>
        <w:rPr>
          <w:rFonts w:hint="eastAsia" w:ascii="方正小标宋简体" w:hAnsi="华文中宋" w:eastAsia="方正小标宋简体" w:cs="方正小标宋简体"/>
          <w:bCs/>
          <w:color w:val="FF0000"/>
          <w:spacing w:val="-20"/>
          <w:w w:val="75"/>
          <w:kern w:val="2"/>
          <w:sz w:val="100"/>
          <w:szCs w:val="100"/>
          <w:lang w:val="en-US" w:eastAsia="zh-CN" w:bidi="ar"/>
        </w:rPr>
        <w:t>平阳县人民政府办公室文件</w:t>
      </w:r>
    </w:p>
    <w:p>
      <w:pPr>
        <w:keepNext w:val="0"/>
        <w:keepLines w:val="0"/>
        <w:widowControl w:val="0"/>
        <w:suppressLineNumbers w:val="0"/>
        <w:spacing w:before="0" w:beforeAutospacing="0" w:after="0" w:afterAutospacing="0" w:line="600" w:lineRule="exact"/>
        <w:ind w:left="0" w:leftChars="0" w:right="0" w:firstLine="0" w:firstLineChars="0"/>
        <w:jc w:val="center"/>
        <w:rPr>
          <w:rFonts w:hint="eastAsia" w:ascii="仿宋_GB2312" w:hAnsi="宋体" w:eastAsia="仿宋_GB2312" w:cs="仿宋_GB2312"/>
          <w:sz w:val="32"/>
          <w:szCs w:val="24"/>
          <w:lang w:val="en-US"/>
        </w:rPr>
      </w:pPr>
      <w:r>
        <w:rPr>
          <w:rFonts w:hint="eastAsia" w:ascii="仿宋_GB2312" w:hAnsi="Times New Roman" w:eastAsia="仿宋_GB2312" w:cs="仿宋_GB2312"/>
          <w:kern w:val="2"/>
          <w:sz w:val="32"/>
          <w:szCs w:val="32"/>
          <w:lang w:val="en-US" w:eastAsia="zh-CN" w:bidi="ar"/>
        </w:rPr>
        <w:t>平政办</w:t>
      </w:r>
      <w:r>
        <w:rPr>
          <w:rFonts w:hint="eastAsia" w:ascii="仿宋_GB2312" w:hAnsi="宋体" w:eastAsia="仿宋_GB2312" w:cs="仿宋_GB2312"/>
          <w:kern w:val="2"/>
          <w:sz w:val="32"/>
          <w:szCs w:val="32"/>
          <w:lang w:val="en-US" w:eastAsia="zh-CN" w:bidi="ar"/>
        </w:rPr>
        <w:t>〔2022〕53</w:t>
      </w:r>
      <w:r>
        <w:rPr>
          <w:rFonts w:hint="eastAsia" w:ascii="仿宋_GB2312" w:hAnsi="宋体" w:eastAsia="仿宋_GB2312" w:cs="仿宋_GB2312"/>
          <w:kern w:val="2"/>
          <w:sz w:val="32"/>
          <w:szCs w:val="24"/>
          <w:lang w:val="en-US" w:eastAsia="zh-CN" w:bidi="ar"/>
        </w:rPr>
        <w:t>号</w:t>
      </w:r>
    </w:p>
    <w:p>
      <w:pPr>
        <w:keepNext w:val="0"/>
        <w:keepLines w:val="0"/>
        <w:widowControl w:val="0"/>
        <w:suppressLineNumbers w:val="0"/>
        <w:spacing w:before="0" w:beforeAutospacing="0" w:after="0" w:afterAutospacing="0" w:line="240" w:lineRule="exact"/>
        <w:ind w:left="0" w:right="0"/>
        <w:jc w:val="center"/>
        <w:rPr>
          <w:rFonts w:hint="eastAsia" w:ascii="仿宋_GB2312" w:hAnsi="宋体" w:eastAsia="仿宋_GB2312" w:cs="仿宋_GB2312"/>
          <w:sz w:val="32"/>
          <w:szCs w:val="24"/>
          <w:lang w:val="en-US"/>
        </w:rPr>
      </w:pPr>
    </w:p>
    <w:p>
      <w:pPr>
        <w:keepNext w:val="0"/>
        <w:keepLines w:val="0"/>
        <w:widowControl w:val="0"/>
        <w:suppressLineNumbers w:val="0"/>
        <w:spacing w:before="0" w:beforeAutospacing="0" w:after="0" w:afterAutospacing="0" w:line="600" w:lineRule="exact"/>
        <w:ind w:left="0" w:right="0"/>
        <w:jc w:val="center"/>
        <w:rPr>
          <w:rFonts w:hint="eastAsia" w:ascii="仿宋_GB2312" w:hAnsi="宋体" w:eastAsia="仿宋_GB2312" w:cs="仿宋_GB2312"/>
          <w:color w:val="000000"/>
          <w:sz w:val="32"/>
          <w:szCs w:val="32"/>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59264" behindDoc="0" locked="0" layoutInCell="1" allowOverlap="1">
                <wp:simplePos x="0" y="0"/>
                <wp:positionH relativeFrom="column">
                  <wp:posOffset>0</wp:posOffset>
                </wp:positionH>
                <wp:positionV relativeFrom="paragraph">
                  <wp:posOffset>15240</wp:posOffset>
                </wp:positionV>
                <wp:extent cx="5600700" cy="0"/>
                <wp:effectExtent l="0" t="0" r="0" b="0"/>
                <wp:wrapNone/>
                <wp:docPr id="10" name="直线 2"/>
                <wp:cNvGraphicFramePr/>
                <a:graphic xmlns:a="http://schemas.openxmlformats.org/drawingml/2006/main">
                  <a:graphicData uri="http://schemas.microsoft.com/office/word/2010/wordprocessingShape">
                    <wps:wsp>
                      <wps:cNvCnPr/>
                      <wps:spPr>
                        <a:xfrm flipV="true">
                          <a:off x="0" y="0"/>
                          <a:ext cx="5600700" cy="0"/>
                        </a:xfrm>
                        <a:prstGeom prst="line">
                          <a:avLst/>
                        </a:prstGeom>
                        <a:ln w="15875" cap="flat" cmpd="sng">
                          <a:solidFill>
                            <a:srgbClr val="FF0000"/>
                          </a:solidFill>
                          <a:prstDash val="solid"/>
                          <a:headEnd type="none" w="med" len="med"/>
                          <a:tailEnd type="none" w="med" len="med"/>
                        </a:ln>
                      </wps:spPr>
                      <wps:bodyPr upright="true"/>
                    </wps:wsp>
                  </a:graphicData>
                </a:graphic>
              </wp:anchor>
            </w:drawing>
          </mc:Choice>
          <mc:Fallback>
            <w:pict>
              <v:line id="直线 2" o:spid="_x0000_s1026" o:spt="20" style="position:absolute;left:0pt;flip:y;margin-left:0pt;margin-top:1.2pt;height:0pt;width:441pt;z-index:251659264;mso-width-relative:page;mso-height-relative:page;" filled="f" stroked="t" coordsize="21600,21600" o:gfxdata="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BYAAABkcnMvUEsBAhQAFAAAAAgAh07iQAoL&#10;fZ7RAAAABAEAAA8AAAAAAAAAAQAgAAAAOAAAAGRycy9kb3ducmV2LnhtbFBLAQIUABQAAAAIAIdO&#10;4kAVhD4S2wEAAJ8DAAAOAAAAAAAAAAEAIAAAADYBAABkcnMvZTJvRG9jLnhtbFBLBQYAAAAABgAG&#10;AFkBAACDBQAAAAA=&#10;">
                <v:fill on="f" focussize="0,0"/>
                <v:stroke weight="1.25pt" color="#FF0000" joinstyle="round"/>
                <v:imagedata o:title=""/>
                <o:lock v:ext="edit" aspectratio="f"/>
              </v:line>
            </w:pict>
          </mc:Fallback>
        </mc:AlternateContent>
      </w:r>
    </w:p>
    <w:p>
      <w:pPr>
        <w:keepNext w:val="0"/>
        <w:keepLines w:val="0"/>
        <w:widowControl w:val="0"/>
        <w:suppressLineNumbers w:val="0"/>
        <w:tabs>
          <w:tab w:val="left" w:pos="4256"/>
        </w:tabs>
        <w:spacing w:before="0" w:beforeAutospacing="0" w:after="0" w:afterAutospacing="0" w:line="600" w:lineRule="exact"/>
        <w:ind w:left="0" w:right="0" w:firstLine="880" w:firstLineChars="200"/>
        <w:jc w:val="both"/>
        <w:rPr>
          <w:rFonts w:hint="eastAsia" w:ascii="方正小标宋简体" w:hAnsi="方正小标宋简体" w:eastAsia="方正小标宋简体" w:cs="方正小标宋简体"/>
          <w:sz w:val="44"/>
          <w:szCs w:val="44"/>
          <w:lang w:val="en-US"/>
        </w:rPr>
      </w:pP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平阳县人民政府办公室</w:t>
      </w: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关于印发平阳县综合交通运输</w:t>
      </w:r>
    </w:p>
    <w:p>
      <w:pPr>
        <w:keepNext w:val="0"/>
        <w:keepLines w:val="0"/>
        <w:pageBreakBefore w:val="0"/>
        <w:widowControl w:val="0"/>
        <w:kinsoku/>
        <w:wordWrap/>
        <w:overflowPunct/>
        <w:topLinePunct w:val="0"/>
        <w:autoSpaceDE/>
        <w:autoSpaceDN/>
        <w:bidi w:val="0"/>
        <w:adjustRightInd w:val="0"/>
        <w:snapToGrid w:val="0"/>
        <w:spacing w:line="600" w:lineRule="exact"/>
        <w:ind w:firstLine="0" w:firstLineChars="0"/>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“十四五”发展规划的通知</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0" w:firstLineChars="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各乡镇人民政府，县政府直属各单位：</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《平阳县综合交通运输“十四五”发展规划》已经县政府第5次常务会议通过，现印发给你们，请结合实际认真贯彻落实。</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keepNext w:val="0"/>
        <w:keepLines w:val="0"/>
        <w:pageBreakBefore w:val="0"/>
        <w:widowControl w:val="0"/>
        <w:kinsoku/>
        <w:wordWrap/>
        <w:overflowPunct/>
        <w:topLinePunct w:val="0"/>
        <w:autoSpaceDE/>
        <w:autoSpaceDN/>
        <w:bidi w:val="0"/>
        <w:adjustRightInd/>
        <w:snapToGrid w:val="0"/>
        <w:spacing w:line="560" w:lineRule="exact"/>
        <w:ind w:firstLine="640"/>
        <w:textAlignment w:val="auto"/>
        <w:rPr>
          <w:rFonts w:hint="eastAsia" w:ascii="仿宋_GB2312" w:hAnsi="仿宋_GB2312" w:eastAsia="仿宋_GB2312" w:cs="仿宋_GB2312"/>
          <w:sz w:val="32"/>
          <w:szCs w:val="32"/>
        </w:rPr>
      </w:pPr>
    </w:p>
    <w:p>
      <w:pPr>
        <w:pStyle w:val="2"/>
        <w:keepNext w:val="0"/>
        <w:keepLines w:val="0"/>
        <w:pageBreakBefore w:val="0"/>
        <w:widowControl w:val="0"/>
        <w:kinsoku/>
        <w:wordWrap/>
        <w:overflowPunct/>
        <w:topLinePunct w:val="0"/>
        <w:autoSpaceDE/>
        <w:autoSpaceDN/>
        <w:bidi w:val="0"/>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5440" w:firstLineChars="1700"/>
        <w:jc w:val="left"/>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平阳县人民政府办公室</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cs="仿宋_GB2312"/>
          <w:sz w:val="32"/>
          <w:szCs w:val="32"/>
          <w:lang w:val="en-US" w:eastAsia="zh-CN"/>
        </w:rPr>
        <w:t xml:space="preserve">         </w:t>
      </w:r>
      <w:r>
        <w:rPr>
          <w:rFonts w:hint="eastAsia" w:ascii="仿宋_GB2312" w:hAnsi="仿宋_GB2312" w:eastAsia="仿宋_GB2312" w:cs="仿宋_GB2312"/>
          <w:sz w:val="32"/>
          <w:szCs w:val="32"/>
        </w:rPr>
        <w:t xml:space="preserve"> 2022年6月</w:t>
      </w:r>
      <w:r>
        <w:rPr>
          <w:rFonts w:hint="eastAsia" w:ascii="仿宋_GB2312" w:hAnsi="仿宋_GB2312" w:cs="仿宋_GB2312"/>
          <w:sz w:val="32"/>
          <w:szCs w:val="32"/>
          <w:lang w:val="en-US" w:eastAsia="zh-CN"/>
        </w:rPr>
        <w:t>30</w:t>
      </w:r>
      <w:r>
        <w:rPr>
          <w:rFonts w:hint="eastAsia" w:ascii="仿宋_GB2312" w:hAnsi="仿宋_GB2312" w:eastAsia="仿宋_GB2312" w:cs="仿宋_GB2312"/>
          <w:sz w:val="32"/>
          <w:szCs w:val="32"/>
        </w:rPr>
        <w:t>日</w:t>
      </w:r>
    </w:p>
    <w:p>
      <w:pPr>
        <w:keepNext w:val="0"/>
        <w:keepLines w:val="0"/>
        <w:pageBreakBefore w:val="0"/>
        <w:widowControl w:val="0"/>
        <w:kinsoku/>
        <w:wordWrap/>
        <w:overflowPunct/>
        <w:topLinePunct w:val="0"/>
        <w:autoSpaceDE/>
        <w:autoSpaceDN/>
        <w:bidi w:val="0"/>
        <w:adjustRightInd/>
        <w:snapToGrid w:val="0"/>
        <w:spacing w:line="560" w:lineRule="exact"/>
        <w:ind w:firstLine="64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（此件公开发布）</w:t>
      </w: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pStyle w:val="15"/>
        <w:keepNext w:val="0"/>
        <w:keepLines w:val="0"/>
        <w:pageBreakBefore w:val="0"/>
        <w:widowControl w:val="0"/>
        <w:kinsoku/>
        <w:wordWrap/>
        <w:overflowPunct/>
        <w:topLinePunct w:val="0"/>
        <w:autoSpaceDE/>
        <w:autoSpaceDN/>
        <w:bidi w:val="0"/>
        <w:ind w:left="560"/>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spacing w:line="240" w:lineRule="auto"/>
        <w:ind w:firstLine="0" w:firstLineChars="0"/>
        <w:rPr>
          <w:rFonts w:hint="default" w:ascii="Times New Roman" w:hAnsi="Times New Roman" w:eastAsia="楷体" w:cs="Times New Roman"/>
          <w:b/>
          <w:szCs w:val="28"/>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简体" w:cs="Times New Roman"/>
          <w:sz w:val="56"/>
          <w:szCs w:val="36"/>
        </w:rPr>
      </w:pPr>
      <w:r>
        <w:rPr>
          <w:rFonts w:hint="default" w:ascii="Times New Roman" w:hAnsi="Times New Roman" w:eastAsia="方正小标宋简体" w:cs="Times New Roman"/>
          <w:sz w:val="56"/>
          <w:szCs w:val="36"/>
        </w:rPr>
        <w:t>平阳县综合交通运输“十四五”</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简体" w:cs="Times New Roman"/>
          <w:sz w:val="56"/>
          <w:szCs w:val="36"/>
        </w:rPr>
      </w:pPr>
      <w:r>
        <w:rPr>
          <w:rFonts w:hint="default" w:ascii="Times New Roman" w:hAnsi="Times New Roman" w:eastAsia="方正小标宋简体" w:cs="Times New Roman"/>
          <w:sz w:val="56"/>
          <w:szCs w:val="36"/>
        </w:rPr>
        <w:t>发展规划</w:t>
      </w: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snapToGrid/>
        <w:spacing w:line="240" w:lineRule="auto"/>
        <w:ind w:firstLine="0" w:firstLineChars="0"/>
        <w:jc w:val="center"/>
        <w:rPr>
          <w:rFonts w:hint="default" w:ascii="Times New Roman" w:hAnsi="Times New Roman" w:eastAsia="方正小标宋简体" w:cs="Times New Roman"/>
          <w:sz w:val="52"/>
          <w:szCs w:val="52"/>
        </w:rPr>
      </w:pPr>
    </w:p>
    <w:p>
      <w:pPr>
        <w:pStyle w:val="2"/>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snapToGrid/>
        <w:spacing w:line="240" w:lineRule="auto"/>
        <w:ind w:firstLine="0" w:firstLineChars="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pStyle w:val="2"/>
        <w:keepNext w:val="0"/>
        <w:keepLines w:val="0"/>
        <w:pageBreakBefore w:val="0"/>
        <w:widowControl w:val="0"/>
        <w:kinsoku/>
        <w:wordWrap/>
        <w:overflowPunct/>
        <w:topLinePunct w:val="0"/>
        <w:autoSpaceDE/>
        <w:autoSpaceDN/>
        <w:bidi w:val="0"/>
        <w:rPr>
          <w:rFonts w:hint="default" w:ascii="Times New Roman" w:hAnsi="Times New Roman" w:eastAsia="方正小标宋简体" w:cs="Times New Roman"/>
          <w:sz w:val="52"/>
          <w:szCs w:val="52"/>
        </w:rPr>
      </w:pPr>
    </w:p>
    <w:p>
      <w:pPr>
        <w:keepNext w:val="0"/>
        <w:keepLines w:val="0"/>
        <w:pageBreakBefore w:val="0"/>
        <w:widowControl w:val="0"/>
        <w:kinsoku/>
        <w:wordWrap/>
        <w:overflowPunct/>
        <w:topLinePunct w:val="0"/>
        <w:autoSpaceDE/>
        <w:autoSpaceDN/>
        <w:bidi w:val="0"/>
        <w:adjustRightInd/>
        <w:snapToGrid w:val="0"/>
        <w:spacing w:line="600" w:lineRule="exact"/>
        <w:ind w:firstLine="0" w:firstLineChars="0"/>
        <w:jc w:val="center"/>
        <w:textAlignment w:val="auto"/>
        <w:rPr>
          <w:rFonts w:hint="default" w:ascii="Times New Roman" w:hAnsi="Times New Roman" w:eastAsia="黑体" w:cs="Times New Roman"/>
          <w:sz w:val="36"/>
          <w:szCs w:val="36"/>
        </w:rPr>
      </w:pPr>
      <w:r>
        <w:rPr>
          <w:rFonts w:hint="default" w:ascii="Times New Roman" w:hAnsi="Times New Roman" w:eastAsia="黑体" w:cs="Times New Roman"/>
          <w:sz w:val="36"/>
          <w:szCs w:val="36"/>
        </w:rPr>
        <w:t>平阳县人民政府</w:t>
      </w:r>
    </w:p>
    <w:p>
      <w:pPr>
        <w:keepNext w:val="0"/>
        <w:keepLines w:val="0"/>
        <w:pageBreakBefore w:val="0"/>
        <w:widowControl w:val="0"/>
        <w:kinsoku/>
        <w:wordWrap/>
        <w:overflowPunct/>
        <w:topLinePunct w:val="0"/>
        <w:autoSpaceDE/>
        <w:autoSpaceDN/>
        <w:bidi w:val="0"/>
        <w:adjustRightInd/>
        <w:snapToGrid w:val="0"/>
        <w:spacing w:line="600" w:lineRule="exact"/>
        <w:ind w:firstLine="0" w:firstLineChars="0"/>
        <w:jc w:val="center"/>
        <w:textAlignment w:val="auto"/>
        <w:rPr>
          <w:rFonts w:hint="default" w:ascii="Times New Roman" w:hAnsi="Times New Roman" w:eastAsia="楷体" w:cs="Times New Roman"/>
          <w:b/>
          <w:szCs w:val="28"/>
        </w:rPr>
      </w:pPr>
      <w:r>
        <w:rPr>
          <w:rFonts w:hint="default" w:ascii="Times New Roman" w:hAnsi="Times New Roman" w:eastAsia="黑体" w:cs="Times New Roman"/>
          <w:sz w:val="36"/>
          <w:szCs w:val="36"/>
        </w:rPr>
        <w:t>二○二二年六月</w:t>
      </w:r>
    </w:p>
    <w:p>
      <w:pPr>
        <w:keepNext w:val="0"/>
        <w:keepLines w:val="0"/>
        <w:pageBreakBefore w:val="0"/>
        <w:widowControl w:val="0"/>
        <w:kinsoku/>
        <w:wordWrap/>
        <w:overflowPunct/>
        <w:topLinePunct w:val="0"/>
        <w:autoSpaceDE/>
        <w:autoSpaceDN/>
        <w:bidi w:val="0"/>
        <w:rPr>
          <w:rFonts w:hint="default" w:ascii="Times New Roman" w:hAnsi="Times New Roman" w:cs="Times New Roman"/>
          <w:szCs w:val="28"/>
        </w:rPr>
      </w:pPr>
      <w:bookmarkStart w:id="0" w:name="_Toc102660564"/>
      <w:bookmarkStart w:id="1" w:name="_Toc87427952"/>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50" w:lineRule="exact"/>
        <w:jc w:val="center"/>
        <w:textAlignment w:val="auto"/>
        <w:rPr>
          <w:rFonts w:hint="default" w:ascii="Times New Roman" w:hAnsi="Times New Roman" w:eastAsia="方正小标宋简体" w:cs="Times New Roman"/>
          <w:b w:val="0"/>
          <w:bCs w:val="0"/>
          <w:sz w:val="44"/>
          <w:szCs w:val="44"/>
        </w:rPr>
      </w:pPr>
      <w:r>
        <w:rPr>
          <w:rFonts w:hint="default" w:ascii="Times New Roman" w:hAnsi="Times New Roman" w:eastAsia="方正小标宋简体" w:cs="Times New Roman"/>
          <w:b w:val="0"/>
          <w:bCs w:val="0"/>
          <w:sz w:val="44"/>
          <w:szCs w:val="44"/>
        </w:rPr>
        <w:t>前</w:t>
      </w:r>
      <w:r>
        <w:rPr>
          <w:rFonts w:hint="default" w:ascii="Times New Roman" w:hAnsi="Times New Roman" w:eastAsia="方正小标宋简体" w:cs="Times New Roman"/>
          <w:b w:val="0"/>
          <w:bCs w:val="0"/>
          <w:sz w:val="44"/>
          <w:szCs w:val="44"/>
          <w:lang w:val="en-US" w:eastAsia="zh-CN"/>
        </w:rPr>
        <w:t xml:space="preserve">  </w:t>
      </w:r>
      <w:r>
        <w:rPr>
          <w:rFonts w:hint="default" w:ascii="Times New Roman" w:hAnsi="Times New Roman" w:eastAsia="方正小标宋简体" w:cs="Times New Roman"/>
          <w:b w:val="0"/>
          <w:bCs w:val="0"/>
          <w:sz w:val="44"/>
          <w:szCs w:val="44"/>
        </w:rPr>
        <w:t>言</w:t>
      </w:r>
      <w:bookmarkEnd w:id="0"/>
      <w:bookmarkEnd w:id="1"/>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交通运输是经济社会发展的“先行官”，也是国家现代化程度的重要标志。党的十九大提出了建设现代化强国的战略部署，提出了建设交通强国的重大战略决策。“十四五”时期，是我国由全面建成小康社会向基本实现社会主义现代化的关键时期，是交通运输由“基本适应”向“提质增效”的转换期，是基础设施网络完善、运输服务水平提高和转型发展的关键期，是开启全面建设交通强国新征程的起步期。</w:t>
      </w: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为进一步贯彻落实交通强国、“一带一路”、“共同富裕示范区”、“四大”建设等国家及部省重大决策部署，围绕党中央“两个一百年”、浙江“两个高水平”、温州都市区“高品质”、“一体化”发展要求、紧扣平阳县“三区两中心”的总要求，适应平阳经济社会的持续快速发展需求，依据《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三五年远景目标纲要》规划要求，为高起点谋好谋实综合交通搞运输发展的新一轮五年规划，统筹平阳公路、铁路、港口水运与其他交通运输方式的协调发展，实现相互间的衔接配套和功能互补，</w:t>
      </w:r>
      <w:r>
        <w:rPr>
          <w:rFonts w:hint="default" w:ascii="Times New Roman" w:hAnsi="Times New Roman" w:cs="Times New Roman"/>
          <w:bCs/>
          <w:sz w:val="32"/>
          <w:szCs w:val="32"/>
        </w:rPr>
        <w:t>推动平阳县综合交通运输实现更高质量发展，研究提出平阳县综合交通“十四五”发展规</w:t>
      </w:r>
      <w:r>
        <w:rPr>
          <w:rFonts w:hint="default" w:ascii="Times New Roman" w:hAnsi="Times New Roman" w:cs="Times New Roman"/>
          <w:sz w:val="32"/>
          <w:szCs w:val="32"/>
        </w:rPr>
        <w:t>划，明确“十四五”期间综合交通发展的战略目标和总体蓝图，科学有序安排交通运输发展重点任务。</w:t>
      </w:r>
    </w:p>
    <w:p>
      <w:pPr>
        <w:keepNext w:val="0"/>
        <w:keepLines w:val="0"/>
        <w:pageBreakBefore w:val="0"/>
        <w:widowControl w:val="0"/>
        <w:kinsoku/>
        <w:wordWrap/>
        <w:overflowPunct/>
        <w:topLinePunct w:val="0"/>
        <w:autoSpaceDE/>
        <w:autoSpaceDN/>
        <w:bidi w:val="0"/>
        <w:adjustRightInd/>
        <w:snapToGrid w:val="0"/>
        <w:spacing w:line="560" w:lineRule="exact"/>
        <w:ind w:firstLine="560"/>
        <w:textAlignment w:val="auto"/>
        <w:rPr>
          <w:rFonts w:hint="default" w:ascii="Times New Roman" w:hAnsi="Times New Roman" w:eastAsia="楷体" w:cs="Times New Roman"/>
          <w:b/>
          <w:szCs w:val="28"/>
        </w:rPr>
      </w:pPr>
      <w:r>
        <w:rPr>
          <w:rFonts w:hint="default" w:ascii="Times New Roman" w:hAnsi="Times New Roman" w:cs="Times New Roman"/>
          <w:sz w:val="32"/>
          <w:szCs w:val="32"/>
        </w:rPr>
        <w:t>规划范围为平阳县域，规划对象涵盖铁路、轨道、公路、港航、航空、管道、邮政、枢纽。规划期限为2021-2025年。</w:t>
      </w:r>
    </w:p>
    <w:p>
      <w:pPr>
        <w:keepNext w:val="0"/>
        <w:keepLines w:val="0"/>
        <w:pageBreakBefore w:val="0"/>
        <w:widowControl w:val="0"/>
        <w:kinsoku/>
        <w:wordWrap/>
        <w:overflowPunct/>
        <w:topLinePunct w:val="0"/>
        <w:autoSpaceDE/>
        <w:autoSpaceDN/>
        <w:bidi w:val="0"/>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楷体" w:cs="Times New Roman"/>
          <w:b/>
          <w:sz w:val="32"/>
          <w:szCs w:val="32"/>
        </w:rPr>
      </w:pPr>
      <w:r>
        <w:rPr>
          <w:rFonts w:hint="default" w:ascii="Times New Roman" w:hAnsi="Times New Roman" w:eastAsia="楷体" w:cs="Times New Roman"/>
          <w:b/>
          <w:sz w:val="32"/>
          <w:szCs w:val="32"/>
        </w:rPr>
        <w:t>编制依据</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left"/>
        <w:textAlignment w:val="auto"/>
        <w:rPr>
          <w:rFonts w:hint="default" w:ascii="Times New Roman" w:hAnsi="Times New Roman" w:eastAsia="楷体" w:cs="Times New Roman"/>
          <w:b/>
          <w:sz w:val="32"/>
          <w:szCs w:val="32"/>
        </w:rPr>
      </w:pP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《交通强国建设纲要》</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《浙江省综合立体交通网络规划（2021-2050）》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全面推进高水平交通强省建设动员大会会议精神</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《关于制定浙江省国民经济和社会发展第十四个五年规划和二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三五年远景目标的建议》</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《浙江省综合交通运输发展“十四五”规划》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《浙江省高速公路网中长期布局规划》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《浙江省普通省道公路网布局规划（2020-2050）》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《温州市综合立体交通网规划（2021-2050年）》</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《温州综合交通运输“十四五”发展规划》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三五年远景目标》（2021-2035）</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《平阳县域总体规划修编（2006--2020）》</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《平阳县综合交通运输“十三五”发展规划》</w:t>
      </w:r>
    </w:p>
    <w:p>
      <w:pPr>
        <w:pStyle w:val="20"/>
        <w:keepNext w:val="0"/>
        <w:keepLines w:val="0"/>
        <w:pageBreakBefore w:val="0"/>
        <w:widowControl w:val="0"/>
        <w:numPr>
          <w:ilvl w:val="0"/>
          <w:numId w:val="2"/>
        </w:numPr>
        <w:kinsoku/>
        <w:wordWrap/>
        <w:overflowPunct/>
        <w:topLinePunct w:val="0"/>
        <w:autoSpaceDE/>
        <w:autoSpaceDN/>
        <w:bidi w:val="0"/>
        <w:adjustRightInd/>
        <w:spacing w:line="560" w:lineRule="exact"/>
        <w:ind w:firstLineChars="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《平阳县历年统计年鉴》</w:t>
      </w:r>
    </w:p>
    <w:p>
      <w:pPr>
        <w:keepNext w:val="0"/>
        <w:keepLines w:val="0"/>
        <w:pageBreakBefore w:val="0"/>
        <w:widowControl w:val="0"/>
        <w:kinsoku/>
        <w:wordWrap/>
        <w:overflowPunct/>
        <w:topLinePunct w:val="0"/>
        <w:autoSpaceDE/>
        <w:autoSpaceDN/>
        <w:bidi w:val="0"/>
        <w:rPr>
          <w:rFonts w:hint="default" w:ascii="Times New Roman" w:hAnsi="Times New Roman" w:cs="Times New Roman"/>
        </w:rPr>
      </w:pPr>
      <w:r>
        <w:rPr>
          <w:rFonts w:hint="default" w:ascii="Times New Roman" w:hAnsi="Times New Roman" w:cs="Times New Roman"/>
        </w:rPr>
        <w:br w:type="page"/>
      </w:r>
    </w:p>
    <w:p>
      <w:pPr>
        <w:snapToGrid/>
        <w:spacing w:line="480" w:lineRule="exact"/>
        <w:ind w:firstLine="0" w:firstLineChars="0"/>
        <w:jc w:val="center"/>
        <w:rPr>
          <w:rFonts w:hint="eastAsia" w:ascii="黑体" w:hAnsi="黑体" w:eastAsia="黑体"/>
          <w:sz w:val="44"/>
          <w:szCs w:val="44"/>
          <w:lang w:val="zh-CN"/>
        </w:rPr>
      </w:pPr>
      <w:r>
        <w:rPr>
          <w:rFonts w:hint="eastAsia" w:ascii="黑体" w:hAnsi="黑体" w:eastAsia="黑体"/>
          <w:sz w:val="44"/>
          <w:szCs w:val="44"/>
          <w:lang w:val="zh-CN"/>
        </w:rPr>
        <w:t>目  录</w:t>
      </w:r>
    </w:p>
    <w:p>
      <w:pPr>
        <w:pStyle w:val="2"/>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textAlignment w:val="auto"/>
        <w:rPr>
          <w:rFonts w:hint="eastAsia" w:ascii="仿宋_GB2312" w:hAnsi="仿宋_GB2312" w:eastAsia="仿宋_GB2312" w:cs="仿宋_GB2312"/>
          <w:i w:val="0"/>
          <w:iCs w:val="0"/>
          <w:sz w:val="32"/>
          <w:szCs w:val="32"/>
        </w:rPr>
      </w:pP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rPr>
      </w:pPr>
      <w:r>
        <w:rPr>
          <w:rFonts w:hint="eastAsia" w:ascii="仿宋_GB2312" w:hAnsi="仿宋_GB2312" w:eastAsia="仿宋_GB2312" w:cs="仿宋_GB2312"/>
          <w:i w:val="0"/>
          <w:iCs w:val="0"/>
          <w:sz w:val="32"/>
          <w:szCs w:val="32"/>
        </w:rPr>
        <w:t>一、发展基础</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（一）总体评价</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（二）发展成就</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（三）存在问题</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15</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二、发展环境</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19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（一）形势要求</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19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（二）发展需求</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22</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三、发展思路</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（一）指导思想</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（二）基本原则</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（三）发展目标</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28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四、综合交通布局方案</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（一）布局原则</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（二）布局思路</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（三）布局方案</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32</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五、“十四五”发展重点及任务</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47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任务1：谋划区域一体化交通布局，融入省市级交通大通道</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47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任务2：构筑换乘便捷、运转高效的客运服务体系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55</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任务3：打造集约整合、协调衔接的货运服务体系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任务4：搭建创新融合多场景应用的智慧交通体系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58</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任务5：建设环境友好的绿色安全交通体系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59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任务6：加强交通行业管理建设</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61</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六、环境影响评价</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（一）规划实施的环境影响分析</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（二）预防和减缓不良环境影响的措施</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64</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七、保障措施</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（一）加强组织指导</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（二）加强改革创新</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（三）加强要素保障</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66</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（四）完善监督考核</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67</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八、附表：平阳县 “十四五”交通投资项目汇总表</w:t>
      </w:r>
      <w:r>
        <w:rPr>
          <w:rFonts w:hint="eastAsia" w:ascii="仿宋_GB2312" w:hAnsi="仿宋_GB2312" w:cs="仿宋_GB2312"/>
          <w:i w:val="0"/>
          <w:iCs w:val="0"/>
          <w:sz w:val="32"/>
          <w:szCs w:val="32"/>
          <w:lang w:val="en-US" w:eastAsia="zh-CN"/>
        </w:rPr>
        <w:tab/>
      </w:r>
      <w:r>
        <w:rPr>
          <w:rFonts w:hint="eastAsia" w:ascii="仿宋_GB2312" w:hAnsi="仿宋_GB2312" w:cs="仿宋_GB2312"/>
          <w:i w:val="0"/>
          <w:iCs w:val="0"/>
          <w:sz w:val="32"/>
          <w:szCs w:val="32"/>
          <w:lang w:val="en-US" w:eastAsia="zh-CN"/>
        </w:rPr>
        <w:t>69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0" w:leftChars="0" w:firstLine="640" w:firstLineChars="20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平阳县综合交通运输“十四五”发展规划建设总规模表</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69</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平阳县综合交通运输“十四五”发展规划项目表（实施类）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70</w:t>
      </w:r>
    </w:p>
    <w:p>
      <w:pPr>
        <w:pStyle w:val="2"/>
        <w:keepNext w:val="0"/>
        <w:keepLines w:val="0"/>
        <w:pageBreakBefore w:val="0"/>
        <w:widowControl w:val="0"/>
        <w:tabs>
          <w:tab w:val="left" w:leader="middleDot" w:pos="8505"/>
        </w:tabs>
        <w:kinsoku/>
        <w:wordWrap/>
        <w:overflowPunct/>
        <w:topLinePunct w:val="0"/>
        <w:autoSpaceDE/>
        <w:autoSpaceDN/>
        <w:bidi w:val="0"/>
        <w:adjustRightInd/>
        <w:snapToGrid w:val="0"/>
        <w:spacing w:line="560" w:lineRule="exact"/>
        <w:ind w:left="638" w:leftChars="228" w:firstLine="0" w:firstLineChars="0"/>
        <w:textAlignment w:val="auto"/>
        <w:rPr>
          <w:rFonts w:hint="default" w:ascii="仿宋_GB2312" w:hAnsi="仿宋_GB2312" w:eastAsia="仿宋_GB2312" w:cs="仿宋_GB2312"/>
          <w:i w:val="0"/>
          <w:iCs w:val="0"/>
          <w:sz w:val="32"/>
          <w:szCs w:val="32"/>
          <w:lang w:val="en-US" w:eastAsia="zh-CN"/>
        </w:rPr>
      </w:pPr>
      <w:r>
        <w:rPr>
          <w:rFonts w:hint="eastAsia" w:ascii="仿宋_GB2312" w:hAnsi="仿宋_GB2312" w:eastAsia="仿宋_GB2312" w:cs="仿宋_GB2312"/>
          <w:i w:val="0"/>
          <w:iCs w:val="0"/>
          <w:sz w:val="32"/>
          <w:szCs w:val="32"/>
        </w:rPr>
        <w:t>平阳县综合交通运输“十四五”发展规划项目表（预备类）</w:t>
      </w:r>
      <w:r>
        <w:rPr>
          <w:rFonts w:hint="eastAsia" w:ascii="仿宋_GB2312" w:hAnsi="仿宋_GB2312" w:eastAsia="仿宋_GB2312" w:cs="仿宋_GB2312"/>
          <w:i w:val="0"/>
          <w:iCs w:val="0"/>
          <w:sz w:val="32"/>
          <w:szCs w:val="32"/>
          <w:lang w:val="en-US" w:eastAsia="zh-CN"/>
        </w:rPr>
        <w:tab/>
      </w:r>
      <w:r>
        <w:rPr>
          <w:rFonts w:hint="eastAsia" w:ascii="仿宋_GB2312" w:hAnsi="仿宋_GB2312" w:eastAsia="仿宋_GB2312" w:cs="仿宋_GB2312"/>
          <w:i w:val="0"/>
          <w:iCs w:val="0"/>
          <w:sz w:val="32"/>
          <w:szCs w:val="32"/>
          <w:lang w:val="en-US" w:eastAsia="zh-CN"/>
        </w:rPr>
        <w:t>72</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0" w:firstLineChars="0"/>
        <w:jc w:val="center"/>
        <w:textAlignment w:val="auto"/>
        <w:rPr>
          <w:rFonts w:hint="default" w:ascii="Times New Roman" w:hAnsi="Times New Roman" w:eastAsia="黑体" w:cs="Times New Roman"/>
          <w:b w:val="0"/>
          <w:bCs w:val="0"/>
          <w:sz w:val="32"/>
          <w:szCs w:val="32"/>
        </w:rPr>
      </w:pPr>
      <w:r>
        <w:rPr>
          <w:rFonts w:hint="default" w:ascii="Times New Roman" w:hAnsi="Times New Roman" w:eastAsia="楷体" w:cs="Times New Roman"/>
          <w:i/>
          <w:iCs/>
          <w:szCs w:val="28"/>
        </w:rPr>
        <w:br w:type="page"/>
      </w:r>
      <w:bookmarkStart w:id="2" w:name="_Toc102660565"/>
      <w:bookmarkStart w:id="3" w:name="_Toc35595715"/>
      <w:bookmarkStart w:id="4" w:name="_Toc38640993"/>
      <w:r>
        <w:rPr>
          <w:rFonts w:hint="default" w:ascii="Times New Roman" w:hAnsi="Times New Roman" w:eastAsia="黑体" w:cs="Times New Roman"/>
          <w:i/>
          <w:iCs/>
          <w:sz w:val="32"/>
          <w:szCs w:val="32"/>
          <w:lang w:eastAsia="zh-CN"/>
        </w:rPr>
        <w:t>一、</w:t>
      </w:r>
      <w:r>
        <w:rPr>
          <w:rFonts w:hint="default" w:ascii="Times New Roman" w:hAnsi="Times New Roman" w:eastAsia="黑体" w:cs="Times New Roman"/>
          <w:b w:val="0"/>
          <w:bCs w:val="0"/>
          <w:sz w:val="32"/>
          <w:szCs w:val="32"/>
        </w:rPr>
        <w:t>发展基础</w:t>
      </w:r>
      <w:bookmarkEnd w:id="2"/>
      <w:bookmarkEnd w:id="3"/>
      <w:bookmarkEnd w:id="4"/>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left"/>
        <w:textAlignment w:val="auto"/>
        <w:rPr>
          <w:rFonts w:hint="default" w:ascii="Times New Roman" w:hAnsi="Times New Roman" w:eastAsia="楷体_GB2312" w:cs="Times New Roman"/>
          <w:i w:val="0"/>
          <w:iCs w:val="0"/>
          <w:sz w:val="32"/>
          <w:szCs w:val="32"/>
          <w:lang w:eastAsia="zh-CN"/>
        </w:rPr>
      </w:pPr>
      <w:bookmarkStart w:id="5" w:name="_Toc102660566"/>
      <w:bookmarkStart w:id="6" w:name="_Toc38640994"/>
      <w:r>
        <w:rPr>
          <w:rFonts w:hint="default" w:ascii="Times New Roman" w:hAnsi="Times New Roman" w:eastAsia="楷体_GB2312" w:cs="Times New Roman"/>
          <w:i w:val="0"/>
          <w:iCs w:val="0"/>
          <w:sz w:val="32"/>
          <w:szCs w:val="32"/>
          <w:lang w:eastAsia="zh-CN"/>
        </w:rPr>
        <w:t>（一）总体评价</w:t>
      </w:r>
      <w:bookmarkEnd w:id="5"/>
      <w:bookmarkEnd w:id="6"/>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县紧紧围绕全省“两富”、“两美”现代化浙江总战略，立足于做好“三个服务”，全面落实“四个交通”、“五大建设”以及浙江省内河航运复兴计划，以“互联互通”为核心，协调发展，稳中求进，全力打造温州南部枢纽。以</w:t>
      </w:r>
      <w:r>
        <w:rPr>
          <w:rFonts w:hint="default" w:ascii="Times New Roman" w:hAnsi="Times New Roman" w:cs="Times New Roman"/>
          <w:b/>
          <w:sz w:val="32"/>
          <w:szCs w:val="32"/>
        </w:rPr>
        <w:t>“互联互通”</w:t>
      </w:r>
      <w:r>
        <w:rPr>
          <w:rFonts w:hint="default" w:ascii="Times New Roman" w:hAnsi="Times New Roman" w:cs="Times New Roman"/>
          <w:sz w:val="32"/>
          <w:szCs w:val="32"/>
        </w:rPr>
        <w:t>为核心，按照“一中心两通道”战略部署，着力搭建</w:t>
      </w:r>
      <w:r>
        <w:rPr>
          <w:rFonts w:hint="default" w:ascii="Times New Roman" w:hAnsi="Times New Roman" w:cs="Times New Roman"/>
          <w:b/>
          <w:bCs/>
          <w:sz w:val="32"/>
          <w:szCs w:val="32"/>
        </w:rPr>
        <w:t>“三大高速、三大国道”</w:t>
      </w:r>
      <w:r>
        <w:rPr>
          <w:rFonts w:hint="default" w:ascii="Times New Roman" w:hAnsi="Times New Roman" w:cs="Times New Roman"/>
          <w:sz w:val="32"/>
          <w:szCs w:val="32"/>
        </w:rPr>
        <w:t>和</w:t>
      </w:r>
      <w:r>
        <w:rPr>
          <w:rFonts w:hint="default" w:ascii="Times New Roman" w:hAnsi="Times New Roman" w:cs="Times New Roman"/>
          <w:b/>
          <w:bCs/>
          <w:sz w:val="32"/>
          <w:szCs w:val="32"/>
        </w:rPr>
        <w:t>“一主两副多线”</w:t>
      </w:r>
      <w:r>
        <w:rPr>
          <w:rFonts w:hint="default" w:ascii="Times New Roman" w:hAnsi="Times New Roman" w:cs="Times New Roman"/>
          <w:sz w:val="32"/>
          <w:szCs w:val="32"/>
        </w:rPr>
        <w:t>交通网络，加快实现互联互通、畅速平阳。加密高速、完善路网、发展轻轨、谋划港口、提升服务，</w:t>
      </w:r>
      <w:r>
        <w:rPr>
          <w:rFonts w:hint="default" w:ascii="Times New Roman" w:hAnsi="Times New Roman" w:cs="Times New Roman"/>
          <w:b/>
          <w:sz w:val="32"/>
          <w:szCs w:val="32"/>
        </w:rPr>
        <w:t>“协调发展，稳中求进”</w:t>
      </w:r>
      <w:r>
        <w:rPr>
          <w:rFonts w:hint="default" w:ascii="Times New Roman" w:hAnsi="Times New Roman" w:cs="Times New Roman"/>
          <w:sz w:val="32"/>
          <w:szCs w:val="32"/>
        </w:rPr>
        <w:t>，全力打造温州南部枢纽，实现综合交通运输网络基本完善，运输服务效率大幅提升。形成能力充分、结构合理、高效便捷、技术先进、绿色安全的现代化综合交通运输体系，融入温州都市区“半小时交通圈”，全面适应经济社会现代化的发展需要、引领社会经济健康可持续发展，构建</w:t>
      </w:r>
      <w:r>
        <w:rPr>
          <w:rFonts w:hint="default" w:ascii="Times New Roman" w:hAnsi="Times New Roman" w:cs="Times New Roman"/>
          <w:b/>
          <w:sz w:val="32"/>
          <w:szCs w:val="32"/>
        </w:rPr>
        <w:t>“畅速平阳”</w:t>
      </w:r>
      <w:r>
        <w:rPr>
          <w:rFonts w:hint="default" w:ascii="Times New Roman" w:hAnsi="Times New Roman" w:cs="Times New Roman"/>
          <w:sz w:val="32"/>
          <w:szCs w:val="32"/>
        </w:rPr>
        <w:t>。</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时期，为适应经济社会现代化的发展需要，引领社会经济健康可持续发展，初步形成能力充分、结构合理、高效便捷、技术先进、绿色安全的现代化综合交通运输体系，融入温州都市区“半小时交通圈”，极大改善了平阳县域交通条件。交通基础设施建设不断推进，累计五年完成投资175亿元，新增公路里程82.6km，高速公路里程19.9km，全县公路里程达1732km。建成投入使用了了甬台温高速复线平阳段、绕西南高速平阳段、57省道复线、万鳌公路、万锦公路、鳌江四桥 、南麂环岛公路、南麂便民服务中心等26个项目。加快推进了瑞平苍高速平阳段、104国道西过境平阳段、228国道平阳段、平阳北互通、鳌江互通、西部红色旅游道路32个项目。全面实现了全域公交化，全县公交一体化三年任务两年完成，客车通村率100%。成为“四好农村路”省级示范县，“美丽经济交通走廊”省级达标县。</w:t>
      </w:r>
    </w:p>
    <w:p>
      <w:pPr>
        <w:keepNext w:val="0"/>
        <w:keepLines w:val="0"/>
        <w:pageBreakBefore w:val="0"/>
        <w:widowControl w:val="0"/>
        <w:kinsoku/>
        <w:wordWrap/>
        <w:overflowPunct/>
        <w:topLinePunct w:val="0"/>
        <w:autoSpaceDE/>
        <w:autoSpaceDN/>
        <w:bidi w:val="0"/>
        <w:adjustRightInd/>
        <w:snapToGrid w:val="0"/>
        <w:spacing w:line="560" w:lineRule="exact"/>
        <w:ind w:left="0" w:leftChars="0" w:firstLine="640" w:firstLineChars="200"/>
        <w:jc w:val="left"/>
        <w:textAlignment w:val="auto"/>
        <w:rPr>
          <w:rFonts w:hint="default" w:ascii="Times New Roman" w:hAnsi="Times New Roman" w:eastAsia="楷体_GB2312" w:cs="Times New Roman"/>
          <w:i w:val="0"/>
          <w:iCs w:val="0"/>
          <w:sz w:val="32"/>
          <w:szCs w:val="32"/>
          <w:lang w:eastAsia="zh-CN"/>
        </w:rPr>
      </w:pPr>
      <w:bookmarkStart w:id="7" w:name="_Toc38640995"/>
      <w:bookmarkStart w:id="8" w:name="_Toc102660567"/>
      <w:bookmarkStart w:id="9" w:name="_Toc35595716"/>
      <w:r>
        <w:rPr>
          <w:rFonts w:hint="default" w:ascii="Times New Roman" w:hAnsi="Times New Roman" w:eastAsia="楷体_GB2312" w:cs="Times New Roman"/>
          <w:i w:val="0"/>
          <w:iCs w:val="0"/>
          <w:sz w:val="32"/>
          <w:szCs w:val="32"/>
          <w:lang w:eastAsia="zh-CN"/>
        </w:rPr>
        <w:t>（二）发展成就</w:t>
      </w:r>
      <w:bookmarkEnd w:id="7"/>
      <w:bookmarkEnd w:id="8"/>
      <w:bookmarkEnd w:id="9"/>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成就1：基础设施建设不断推进，交通格局基本形成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1）</w:t>
      </w:r>
      <w:r>
        <w:rPr>
          <w:rFonts w:hint="default" w:ascii="Times New Roman" w:hAnsi="Times New Roman" w:cs="Times New Roman"/>
          <w:b w:val="0"/>
          <w:bCs w:val="0"/>
          <w:sz w:val="32"/>
          <w:szCs w:val="32"/>
        </w:rPr>
        <w:t>交通基础设施投资</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全县交通运输工作在县委、县政府的正确领导和县人大及其常委会的监督支持下，大干交通、干大交通，各项工作取得了阶段性成效。计划完成交通基础设施投资200亿元，实际完成交通基础设施投资175亿元，较“十二五”时期增长超100亿元。</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2</w:t>
      </w: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rPr>
        <w:t>铁路及城市轨道网</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目前甬台温铁路平阳段全长27.03公里，在平阳境内设火车站一座，为平阳站（原鳌江站），位于鳌江镇西塘村广场路，平阳火车站设计为承担客货业务的中间站，设计等级为二级站，设计规模为站房建筑面积8000平方米。目前日办理客运业务列车59列，日均旅客发送量6500人次，年发送旅客300万人次。</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“十三五”期间，平阳积极谋划沿海高铁、温州市域轨道S3线二期（平阳段）项目前期工作。</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3）</w:t>
      </w:r>
      <w:r>
        <w:rPr>
          <w:rFonts w:hint="default" w:ascii="Times New Roman" w:hAnsi="Times New Roman" w:cs="Times New Roman"/>
          <w:b w:val="0"/>
          <w:bCs w:val="0"/>
          <w:sz w:val="32"/>
          <w:szCs w:val="32"/>
          <w:lang w:eastAsia="zh-CN"/>
        </w:rPr>
        <w:t>公路</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“十三五”期间，平阳积极抓好“一中心两通道”建设，全力实施交通路网优化、枢纽提升、美丽通达、治堵畅行四大工程。着力搭建县域东部“三大高速、三大国道 ”和县域西部“一主两副多线”交通网络构架，县内东部主干道呈现“四纵四横”、西部主通道呈现“一纵两横九连”的新格局。</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截至2020年底，平阳县公路网总里程达到1688公里，其中高速公路47公里，一级公路63公里，二级公路57公里，三级公路83公里，四级公路846公里，等外公路（含准四级）590公里。高速公路新增19.93公里，同比增长73%。一级公路新增26公里，增长72%。四级及以上公路里程大幅度提升，等外公路占比大幅度降低，等级以上公路新增412公里，同比增长60%。</w:t>
      </w:r>
    </w:p>
    <w:p>
      <w:pPr>
        <w:keepNext w:val="0"/>
        <w:keepLines w:val="0"/>
        <w:pageBreakBefore w:val="0"/>
        <w:widowControl w:val="0"/>
        <w:kinsoku/>
        <w:wordWrap/>
        <w:overflowPunct/>
        <w:topLinePunct w:val="0"/>
        <w:autoSpaceDE/>
        <w:autoSpaceDN/>
        <w:bidi w:val="0"/>
        <w:adjustRightInd/>
        <w:snapToGrid/>
        <w:spacing w:before="157" w:beforeLines="50" w:afterLines="0" w:line="240" w:lineRule="auto"/>
        <w:ind w:left="0" w:leftChars="0" w:firstLine="0" w:firstLine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2"/>
        </w:rPr>
        <w:drawing>
          <wp:inline distT="0" distB="0" distL="114300" distR="114300">
            <wp:extent cx="5381625" cy="3000375"/>
            <wp:effectExtent l="0" t="0" r="9525" b="9525"/>
            <wp:docPr id="62" name="图片 1"/>
            <wp:cNvGraphicFramePr/>
            <a:graphic xmlns:a="http://schemas.openxmlformats.org/drawingml/2006/main">
              <a:graphicData uri="http://schemas.openxmlformats.org/drawingml/2006/picture">
                <pic:pic xmlns:pic="http://schemas.openxmlformats.org/drawingml/2006/picture">
                  <pic:nvPicPr>
                    <pic:cNvPr id="62" name="图片 1"/>
                    <pic:cNvPicPr/>
                  </pic:nvPicPr>
                  <pic:blipFill>
                    <a:blip r:embed="rId8"/>
                    <a:stretch>
                      <a:fillRect/>
                    </a:stretch>
                  </pic:blipFill>
                  <pic:spPr>
                    <a:xfrm>
                      <a:off x="0" y="0"/>
                      <a:ext cx="5381625" cy="30003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图1-1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平阳县公路里程统计</w:t>
      </w:r>
    </w:p>
    <w:p>
      <w:pPr>
        <w:keepNext w:val="0"/>
        <w:keepLines w:val="0"/>
        <w:pageBreakBefore w:val="0"/>
        <w:widowControl w:val="0"/>
        <w:kinsoku/>
        <w:wordWrap/>
        <w:overflowPunct/>
        <w:topLinePunct w:val="0"/>
        <w:autoSpaceDE/>
        <w:autoSpaceDN/>
        <w:bidi w:val="0"/>
        <w:adjustRightInd/>
        <w:snapToGrid w:val="0"/>
        <w:spacing w:line="300" w:lineRule="exact"/>
        <w:ind w:left="0" w:firstLine="560"/>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公路网密度进一步提升，等级公路占比大幅提升，公路网密度由“十二五”期末的152.47公里/百平方米提升至158.25公里/百平方米。高等级公路建设继续推进，人均高速公路里程2015年末的0.3公里/万人提升至0.53公里/万人，人均一级公路里程达0.58公里/万人，均达到全市平均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县域高速公路网初具规模：</w:t>
      </w:r>
      <w:r>
        <w:rPr>
          <w:rFonts w:hint="default" w:ascii="Times New Roman" w:hAnsi="Times New Roman" w:cs="Times New Roman"/>
          <w:sz w:val="32"/>
          <w:szCs w:val="32"/>
        </w:rPr>
        <w:t>“十三五”期间，甬台温高速复线平阳段、温州绕城高速西南线平阳段两条高速相继通车投入使用，县域高速公路网络已由“十二五”末的仅有一条甬台温高速，转变为“两纵一横”的高速公路网络格局。加快平阳北互通、鳌江互通等重大工程建设，加快推进瑞苍高速平阳段项目前期工作，已取得突破性进展，其中先行段南雁荡山互通连接线预计将于2021年初开工建设。</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普通国省道前期工作积极推进：</w:t>
      </w:r>
      <w:r>
        <w:rPr>
          <w:rFonts w:hint="default" w:ascii="Times New Roman" w:hAnsi="Times New Roman" w:cs="Times New Roman"/>
          <w:sz w:val="32"/>
          <w:szCs w:val="32"/>
        </w:rPr>
        <w:t>现状平阳境内有G104国道，全长30.85公里，途经万全镇、昆阳镇、鳌江镇、萧江镇。“十三五”期间，加快推进G228平阳榆</w:t>
      </w:r>
      <w:r>
        <w:rPr>
          <w:rFonts w:hint="default" w:ascii="Times New Roman" w:hAnsi="Times New Roman" w:eastAsia="微软雅黑" w:cs="Times New Roman"/>
          <w:sz w:val="32"/>
          <w:szCs w:val="32"/>
        </w:rPr>
        <w:t>垟</w:t>
      </w:r>
      <w:r>
        <w:rPr>
          <w:rFonts w:hint="default" w:ascii="Times New Roman" w:hAnsi="Times New Roman" w:cs="Times New Roman"/>
          <w:sz w:val="32"/>
          <w:szCs w:val="32"/>
        </w:rPr>
        <w:t>鳌江段建设工程、G104西过境平阳段改建工程。</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普通省道S230，全长共80.2公里，途经凤巢乡、水头镇、南湖乡、萧江镇。“十三五”时期，全速推进218省道平阳腾蛟至萧江段改建工程、219省道平阳怀溪至闹村段工程。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中心城区道路网结构完善：</w:t>
      </w:r>
      <w:r>
        <w:rPr>
          <w:rFonts w:hint="default" w:ascii="Times New Roman" w:hAnsi="Times New Roman" w:cs="Times New Roman"/>
          <w:sz w:val="32"/>
          <w:szCs w:val="32"/>
        </w:rPr>
        <w:t>“十三五”期间，昆鳌快速通道、昆宋公路、57省道复线、万鳌公路、万锦公路、鳌江一桥、鳌江四桥、平阳鳌江车渡码头工程等一大批项目相继建成投用。此外，胜利路东延段（墨城互通至横山大道）新建工程、萧麻大道、浙南集聚区至鳌江港集疏运公路等项目前期工作积极推进。</w:t>
      </w:r>
    </w:p>
    <w:p>
      <w:pPr>
        <w:pStyle w:val="20"/>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四好农村公路继续加大投入：</w:t>
      </w:r>
      <w:r>
        <w:rPr>
          <w:rFonts w:hint="default" w:ascii="Times New Roman" w:hAnsi="Times New Roman" w:cs="Times New Roman"/>
          <w:sz w:val="32"/>
          <w:szCs w:val="32"/>
        </w:rPr>
        <w:t>“十三五”期间，平阳县始终坚持把“四好农村路”建设作为打赢脱贫攻坚战、实现乡村振兴、冲刺共同富裕的重要抓手，五年累计投入80.7亿元，扎实推进“四好农村路”建设，创成了省级“四好农村路”建设示范县，有效打通了“两山”转化通道，取得扎实成效。共改造提升农村道路188条，完成“四好农村路”建设农村公路1044公里，建制村双车道通达率提高近45%，农村公交化率提高77%，沥青路占比提高13%，实现所辖乡镇、重点景区三级以上公路“全覆盖”。并于2019年成为 “四好农村路”省级示范县。</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美丽经济交通走廊建设稳步推进：</w:t>
      </w:r>
      <w:r>
        <w:rPr>
          <w:rFonts w:hint="default" w:ascii="Times New Roman" w:hAnsi="Times New Roman" w:cs="Times New Roman"/>
          <w:sz w:val="32"/>
          <w:szCs w:val="32"/>
        </w:rPr>
        <w:t>“十三五”期间，累积完成投资13.1亿元，完成美创线路总里程约331.9千米，完成红色领航项目25千米，已完成鳌江十里梅林示范带、昆阳塘河田园风情示范带、青街畲乡竹海示范带等美创项目主体。</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4）</w:t>
      </w:r>
      <w:r>
        <w:rPr>
          <w:rFonts w:hint="default" w:ascii="Times New Roman" w:hAnsi="Times New Roman" w:cs="Times New Roman"/>
          <w:b w:val="0"/>
          <w:bCs w:val="0"/>
          <w:sz w:val="32"/>
          <w:szCs w:val="32"/>
          <w:lang w:eastAsia="zh-CN"/>
        </w:rPr>
        <w:t>水运</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目前平阳港区拥有1500吨级码头2座，1000吨级码头3座，1000吨级以下码头30座。境内具备通航条件的有7条，鳌江龙港大桥-岱口大桥段为通海轮内河300吨级航道，通航里程9公里；鳌江岱口大桥-水头镇段为内河准七级航道，通航里程21公里；昆阳-飞云段为内河准七级航道，通航里程17公里；昆阳-鳌江段为内河准七级航道，通航里程13公里；昆阳-钱仓段为内河准七级航道，通航里程12公里；昆阳-宋埠段为内河准七级航道，通航里程13公里；昆阳-郑楼段为内河准七级航道，通航里程12公里。</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港建设积极推进，平阳港区共建成泊位4个。建成县港航局巡逻执法艇码头工程、温州海事局南麂监管码头、平阳鳌江车渡码头工程、南麂港航便民及旅游服务中心工程以及南麂港进港航道及码头港池疏浚工程，总投资达1.5亿元。全县共有水运企业2家，水运辅助企业2家，在册实有沿海营运船舶9艘，载客量1486客位。完成水路客运量21.68万人次，同比增加41%。</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w:t>
      </w:r>
      <w:r>
        <w:rPr>
          <w:rFonts w:hint="default" w:ascii="Times New Roman" w:hAnsi="Times New Roman" w:cs="Times New Roman"/>
          <w:b w:val="0"/>
          <w:bCs w:val="0"/>
          <w:sz w:val="32"/>
          <w:szCs w:val="32"/>
          <w:lang w:val="en-US" w:eastAsia="zh-CN"/>
        </w:rPr>
        <w:t>5）</w:t>
      </w:r>
      <w:r>
        <w:rPr>
          <w:rFonts w:hint="default" w:ascii="Times New Roman" w:hAnsi="Times New Roman" w:cs="Times New Roman"/>
          <w:b w:val="0"/>
          <w:bCs w:val="0"/>
          <w:sz w:val="32"/>
          <w:szCs w:val="32"/>
          <w:lang w:eastAsia="zh-CN"/>
        </w:rPr>
        <w:t>客货运场站</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紧密结合城镇规划和公路发展布局，努力打造成为温州骨干网点的客运站场。“十三五”期间新建成鳌江客运中心、南麂客运站、郑楼客运站，新建成港湾式停靠站139个，客货运站场设施得到了进一步改善。</w:t>
      </w:r>
    </w:p>
    <w:p>
      <w:pPr>
        <w:keepNext w:val="0"/>
        <w:keepLines w:val="0"/>
        <w:pageBreakBefore w:val="0"/>
        <w:widowControl w:val="0"/>
        <w:kinsoku/>
        <w:wordWrap/>
        <w:overflowPunct/>
        <w:topLinePunct w:val="0"/>
        <w:autoSpaceDE/>
        <w:autoSpaceDN/>
        <w:bidi w:val="0"/>
        <w:adjustRightInd/>
        <w:snapToGrid w:val="0"/>
        <w:spacing w:line="560" w:lineRule="exact"/>
        <w:ind w:left="0" w:firstLine="560"/>
        <w:jc w:val="both"/>
        <w:textAlignment w:val="auto"/>
        <w:rPr>
          <w:rFonts w:hint="default" w:ascii="Times New Roman" w:hAnsi="Times New Roman" w:cs="Times New Roman"/>
          <w:b/>
          <w:bCs/>
          <w:sz w:val="32"/>
          <w:szCs w:val="32"/>
          <w:lang w:eastAsia="zh-CN"/>
        </w:rPr>
      </w:pPr>
      <w:r>
        <w:rPr>
          <w:rFonts w:hint="default" w:ascii="Times New Roman" w:hAnsi="Times New Roman" w:cs="Times New Roman"/>
          <w:b/>
          <w:bCs/>
          <w:sz w:val="32"/>
          <w:szCs w:val="32"/>
          <w:lang w:eastAsia="zh-CN"/>
        </w:rPr>
        <w:t>成就2：全力推进运输大发展，服务水平进一步提升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交通基础设施的不断完善，有力推动了平阳县交通运输业发展，交通运输客货运量及周转量趋于平稳，运输装备技术水平逐步升级，运输服务质量不断提高，有效地促进平阳县经济社会的协调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（1）交通运输转型升级，服务水平稳步提升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累计完成公路客运量12430万人，水运客运量88万人，总客运量位列全市第四位。公路货运量2792万吨，水运货运量212万吨。全县公交客运运输量达7193万人次，同比增长85.9%。交通公共场所服务大提升，通过增设鳌江客运中心网上购票服务和自助售票机服务系统，实现智慧出行；开发鳌江南麂客运码头南麂客运航线景区门票、岛上公交票、船票三合一售票系统，推动南麂客运航线水陆交通联网，实现客运信息数字化转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（2）城乡公交一体化建设持续推进，人民满意度稳步提升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自2017年起，平阳全力推进建制村客车“村村通”攻坚行动，客车通村率100%。完成收购改造农村班线59条、330辆目标任务，公交车数量也从123辆增至442辆，新增线路23条，城乡公交一体化三年任务两年完成，新能源公交车增加130辆，城乡公交化率由23%提升至100%，建设 港湾式停靠站182个，实现全域公交化。自2017年起，全县全力推进建制村客车“村村通”攻坚行动，客车通村率达100%。改造建设村级物流点324个。</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公交惠民服务有序开展，开通昆阳至水头、鳌江至萧江、动车站至水头等多条主干镇际公交。加大公交优惠力度，票价下降53%，组织开展了“一分钱坐公交”等活动。推广公交移动支付以及“平阳公交”微信公众号平台使用。每年县财政补贴运营0.7亿元，减少群众出行成本约1亿元，切实提升城市形象、群众满意度及运输服务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（3）综合运输装备更新换代，居民出行更舒适</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平阳县的客运车辆向高效、节能、环保、舒适发展，货运车辆向大型化、标准化、专业化、清洁化方向发展。相较“十二五”时期，各类运输装备指标增长较快。至2019年末，全县拥有各类营运车辆857辆，其中客车457辆、货车185辆、公交车400辆。</w:t>
      </w:r>
    </w:p>
    <w:p>
      <w:pPr>
        <w:pStyle w:val="6"/>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成就3：全力推进队伍大建设，全面提升治理水平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（1）法治建设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全面推进法治政府部门建设，推进统一执法、联合执法、路警共建等交通运输行政执法模式改革，强化监督管理，不断完善交通运输法治政府部门考核评价机制，加强执法业务骨干队伍和执法管理队伍建设，开展多次行业教育培训工作。建立健全规范行政处罚、行政强制等行政行为自由裁量权制度，2019年重新修订完善了《行政执法公开制度》、《重大行政执法决定法制审核制度》、《执法全过程记录制度》，规范行政主体的自由裁量权，完善行政执法程序，强化交通依法监管。推进“三基三化”建设，提高队伍整体形象，积极做好队伍素质建设。完善社会法制宣传教育制度，深入开展“七五”普法活动，营造依法行政的良好氛围，加强普法力度，提高普法层次，为交通运输行政执法创造了良好的社会环境。</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（2）信息建设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期间，交通运输行业信息化水平持续提高，在交通建设、运输生产、交通安全、政府管理等方面大力推广和应用信息技术。进一步完善各项信息平台，车辆GPS集中监控平台、施工工地远程监控等安全生产信息化建设，用信息化水平的提高带动整个行业的全面发展。截至2019年底“两客两货”车辆GPS安装率、入网率、上线率均达100%。</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不断推进审批改革，落实便民举措，提高了网上办结率，实现群众“零跑腿”，审批流程再优化，网上实现率达到100%，掌上实现率达到100%，即办比例达到94.07%，承诺压缩比达到99.56%。</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积极推动“一件事”。在“网络预约出租汽车车辆营运证核发”、“巡游出租汽车驾驶员从业资格认定”等“一件事”上，积极与相关部门沟通协调，加快互通公共数据，做好“先照后证”双告知的涉证企业认领工作，实现多部门联办，提高审批效率。</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（3）队伍建设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交通系统多次组织开展执法人员培训，不断创新队伍管理模式，开展依法行政考评，推进“执法全过程记录”，提高依法行政的自觉性。贯彻落实党的十九大精神，加强党风廉政建设和队伍教育，以“实字当头、干字为先”的精气神，全面加强党的建设，从严治党，严格执行党的纪律和规矩。开展“不忘初心</w:t>
      </w:r>
      <w:r>
        <w:rPr>
          <w:rFonts w:hint="eastAsia" w:cs="Times New Roman"/>
          <w:sz w:val="32"/>
          <w:szCs w:val="32"/>
          <w:lang w:eastAsia="zh-CN"/>
        </w:rPr>
        <w:t>、</w:t>
      </w:r>
      <w:r>
        <w:rPr>
          <w:rFonts w:hint="default" w:ascii="Times New Roman" w:hAnsi="Times New Roman" w:cs="Times New Roman"/>
          <w:sz w:val="32"/>
          <w:szCs w:val="32"/>
        </w:rPr>
        <w:t>牢记使命”主题教育，坚持把学习教育、调查研究、检视问题、整改落实贯穿主题教育全过程。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rPr>
      </w:pPr>
      <w:bookmarkStart w:id="10" w:name="_Toc102660568"/>
      <w:bookmarkStart w:id="11" w:name="_Toc38640996"/>
      <w:r>
        <w:rPr>
          <w:rFonts w:hint="default" w:ascii="Times New Roman" w:hAnsi="Times New Roman" w:eastAsia="楷体_GB2312" w:cs="Times New Roman"/>
          <w:b w:val="0"/>
          <w:bCs w:val="0"/>
          <w:sz w:val="32"/>
          <w:szCs w:val="32"/>
          <w:lang w:eastAsia="zh-CN"/>
        </w:rPr>
        <w:t>（三）</w:t>
      </w:r>
      <w:r>
        <w:rPr>
          <w:rFonts w:hint="default" w:ascii="Times New Roman" w:hAnsi="Times New Roman" w:eastAsia="楷体_GB2312" w:cs="Times New Roman"/>
          <w:b w:val="0"/>
          <w:bCs w:val="0"/>
          <w:sz w:val="32"/>
          <w:szCs w:val="32"/>
        </w:rPr>
        <w:t>存在问题</w:t>
      </w:r>
      <w:bookmarkEnd w:id="10"/>
      <w:bookmarkEnd w:id="11"/>
      <w:bookmarkStart w:id="12" w:name="_Toc35595717"/>
    </w:p>
    <w:bookmarkEnd w:id="12"/>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rPr>
      </w:pPr>
      <w:bookmarkStart w:id="13" w:name="_Toc35595718"/>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rPr>
        <w:t>综合交通基础设施建设还需加强，交通发展不均衡</w:t>
      </w:r>
    </w:p>
    <w:bookmarkEnd w:id="13"/>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现状平阳县不同方向对外交通设施分布不均匀，联系效率差异显著。县域内交通基础设施呈现为“东密西疏”的布局，高速公路、铁路以及主要客货运梳理场站均集中分布在东部沿海地区，已基本形成南北向多条干线通道。但西向与丽水、泰顺联系的通道单一且道路等级不高，高速公路仍未全线贯通。境内仅有一条时速200公里的甬台温铁路，甬台温高铁尚在项目预可研审查阶段，与上海、杭州长三角重点城市联系时间均超过2小时。境内主要对外快速运输通道，甬台温铁路、沈海高速平阳段、G104国道运输能力均趋于饱和，难以满足日益增长的交通需求。县域内暂无可用民用机场，快进快出的综合立体型交通基础设施规模不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平阳整体的公路网技术等级与服务水平不高，高等级公路、高等级航道占比不高，技术结构有待优化。全县二级及以上公路仅占公路总里程的7.0%，高速公路总里程占比不到温州全市10%，而四级、准四级公路占比达88.2%，全县通航里程97公里，其中七级及以下航道里程88公里，占比高达90.7%。</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城乡交通统筹发展有待加强，西部山区缺乏交通廊道支撑</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目前平阳县乡公路整体尚未成网，城市城乡交通主骨架网络等级偏低，不能适应城乡一体化建设的交通要求。中西部乡镇到达县中心城区的时间在1.5小时以内，鳌江、水头、万全、海西等中心镇到达县中心区域时间在45分钟内，山门、顺溪、南雁、怀溪、青街畲族乡等西部较偏远的乡镇到达中心城区的时间均超过1小时，城市城乡联系路径需进一步优化。</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中西部地区高速公路仍处在谋划建设阶段，现状除萧江、鳌江、万全、麻布镇以外，其余各乡镇到最近的高速公路互通所需时间均超过15分钟，亟需提高西部各乡镇与高速公路连接效率。</w:t>
      </w:r>
    </w:p>
    <w:p>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2564765" cy="1800225"/>
            <wp:effectExtent l="0" t="0" r="6985" b="9525"/>
            <wp:docPr id="43"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true"/>
                    </pic:cNvPicPr>
                  </pic:nvPicPr>
                  <pic:blipFill>
                    <a:blip r:embed="rId9"/>
                    <a:stretch>
                      <a:fillRect/>
                    </a:stretch>
                  </pic:blipFill>
                  <pic:spPr>
                    <a:xfrm>
                      <a:off x="0" y="0"/>
                      <a:ext cx="2564765" cy="1800225"/>
                    </a:xfrm>
                    <a:prstGeom prst="rect">
                      <a:avLst/>
                    </a:prstGeom>
                    <a:noFill/>
                    <a:ln>
                      <a:noFill/>
                    </a:ln>
                  </pic:spPr>
                </pic:pic>
              </a:graphicData>
            </a:graphic>
          </wp:inline>
        </w:drawing>
      </w:r>
      <w:r>
        <w:rPr>
          <w:rFonts w:hint="default" w:ascii="Times New Roman" w:hAnsi="Times New Roman" w:cs="Times New Roman"/>
          <w:szCs w:val="28"/>
        </w:rPr>
        <w:t xml:space="preserve">  </w:t>
      </w:r>
      <w:r>
        <w:rPr>
          <w:rFonts w:hint="default" w:ascii="Times New Roman" w:hAnsi="Times New Roman" w:cs="Times New Roman"/>
          <w:szCs w:val="28"/>
        </w:rPr>
        <w:drawing>
          <wp:inline distT="0" distB="0" distL="114300" distR="114300">
            <wp:extent cx="2610485" cy="1800225"/>
            <wp:effectExtent l="0" t="0" r="18415" b="9525"/>
            <wp:docPr id="42"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true"/>
                    </pic:cNvPicPr>
                  </pic:nvPicPr>
                  <pic:blipFill>
                    <a:blip r:embed="rId10"/>
                    <a:stretch>
                      <a:fillRect/>
                    </a:stretch>
                  </pic:blipFill>
                  <pic:spPr>
                    <a:xfrm>
                      <a:off x="0" y="0"/>
                      <a:ext cx="2610485" cy="18002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图1-2平阳中心镇15分钟、30分钟交通时空圈分布图</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平阳港集疏运体系建设有待加强，港区发展滞后</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港区建设进度缓慢，港区年吞吐量逐年减少，2019年沿海港口吞吐量达124.19万吨，占全市港口吞吐量总量不足2%交通运输发展不完善、不平衡、不充分的问题明显，不同运输方式的组合效率和整体优势并未充分发挥，难以满足日益增长的居民出行需求和产业生产货运需求，距离实现综合交通运输现代化的目标尚有较大差距。此外疏港公路纵深不足，进出港货车在城市道路上与其他车辆混行，高速通道以南北向为主，缺乏与浙西内陆腹地的快速货运通道。缺乏铁路集疏运通道，甬台温铁路平阳港支线尚在研究阶段，公铁、水铁联运亟待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4</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多式联运体系尚不健全，公路运输占比大</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当前平阳县的经济总量已占到温州市的7.7%，是温州南翼区域重要的经济中心，承担都市经济、生活等多种功能。经济的快速发展势必伴随着更高时效、更低成本的运输需求，但目前平阳目前货运基础条件与本地产业发展需求不匹配，已逐步成为制约平阳经济社会进一步发展的主要制约。从运输总量上看，目前平阳公路水运货运总量位列全市第六位，基本维持在600万吨/年，主要依靠公路运输，公路货运占比超过80%，且呈现逐年增长的趋势，给既有公路货运系统带来了较大压力。综合交通运输发展不完善、不平衡、不充分的问题明显，不同运输方式的组合效率和整体优势并未充分发挥。</w:t>
      </w:r>
    </w:p>
    <w:p>
      <w:pPr>
        <w:keepNext w:val="0"/>
        <w:keepLines w:val="0"/>
        <w:pageBreakBefore w:val="0"/>
        <w:widowControl w:val="0"/>
        <w:kinsoku/>
        <w:wordWrap/>
        <w:overflowPunct/>
        <w:topLinePunct w:val="0"/>
        <w:autoSpaceDE/>
        <w:autoSpaceDN/>
        <w:bidi w:val="0"/>
        <w:adjustRightInd/>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248150" cy="2729230"/>
            <wp:effectExtent l="0" t="0" r="0" b="13970"/>
            <wp:docPr id="44"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true"/>
                    </pic:cNvPicPr>
                  </pic:nvPicPr>
                  <pic:blipFill>
                    <a:blip r:embed="rId11"/>
                    <a:stretch>
                      <a:fillRect/>
                    </a:stretch>
                  </pic:blipFill>
                  <pic:spPr>
                    <a:xfrm>
                      <a:off x="0" y="0"/>
                      <a:ext cx="4248150" cy="272923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图1-3</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平阳县“十三五”时期公路、水运货运量统计</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8"/>
          <w:szCs w:val="28"/>
        </w:rPr>
      </w:pP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5</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交通行业管理能力有待加强，人财地要素制约突出</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三五”时期国内外经济形势面临严峻挑战，全市GDP增速及财政收入的增速都在逐步放缓，导致整体资金筹措难度大，融资成本高。然而交通项目投资金额大，建设周期长，项目地方自筹金额比例高，导致交通建设的资金需求难以得到满足。</w:t>
      </w:r>
      <w:r>
        <w:rPr>
          <w:rFonts w:hint="eastAsia" w:cs="Times New Roman"/>
          <w:sz w:val="32"/>
          <w:szCs w:val="32"/>
          <w:lang w:val="en-US" w:eastAsia="zh-CN"/>
        </w:rPr>
        <w:t>与</w:t>
      </w:r>
      <w:r>
        <w:rPr>
          <w:rFonts w:hint="default" w:ascii="Times New Roman" w:hAnsi="Times New Roman" w:cs="Times New Roman"/>
          <w:sz w:val="32"/>
          <w:szCs w:val="32"/>
        </w:rPr>
        <w:t>此同时融资渠道收紧、占补平衡土地指标稀缺、人才短缺等要素依旧是制约交通大建设大发展的主要因素。</w:t>
      </w:r>
    </w:p>
    <w:p>
      <w:pPr>
        <w:rPr>
          <w:rFonts w:hint="default" w:ascii="Times New Roman" w:hAnsi="Times New Roman" w:eastAsia="黑体" w:cs="Times New Roman"/>
          <w:b w:val="0"/>
          <w:bCs w:val="0"/>
          <w:kern w:val="2"/>
          <w:sz w:val="32"/>
          <w:szCs w:val="32"/>
          <w:lang w:val="en-US" w:eastAsia="zh-CN" w:bidi="ar-SA"/>
        </w:rPr>
      </w:pPr>
      <w:bookmarkStart w:id="14" w:name="_Toc102660569"/>
      <w:r>
        <w:rPr>
          <w:rFonts w:hint="default" w:ascii="Times New Roman" w:hAnsi="Times New Roman" w:eastAsia="黑体" w:cs="Times New Roman"/>
          <w:b w:val="0"/>
          <w:bCs w:val="0"/>
          <w:kern w:val="2"/>
          <w:sz w:val="32"/>
          <w:szCs w:val="32"/>
          <w:lang w:val="en-US" w:eastAsia="zh-CN" w:bidi="ar-SA"/>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eastAsia="黑体" w:cs="Times New Roman"/>
          <w:b w:val="0"/>
          <w:bCs w:val="0"/>
          <w:kern w:val="2"/>
          <w:sz w:val="32"/>
          <w:szCs w:val="32"/>
          <w:lang w:val="en-US" w:eastAsia="zh-CN" w:bidi="ar-SA"/>
        </w:rPr>
      </w:pPr>
      <w:r>
        <w:rPr>
          <w:rFonts w:hint="default" w:ascii="Times New Roman" w:hAnsi="Times New Roman" w:eastAsia="黑体" w:cs="Times New Roman"/>
          <w:b w:val="0"/>
          <w:bCs w:val="0"/>
          <w:kern w:val="2"/>
          <w:sz w:val="32"/>
          <w:szCs w:val="32"/>
          <w:lang w:val="en-US" w:eastAsia="zh-CN" w:bidi="ar-SA"/>
        </w:rPr>
        <w:t>二、发展环境</w:t>
      </w:r>
      <w:bookmarkEnd w:id="14"/>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lang w:eastAsia="zh-CN"/>
        </w:rPr>
      </w:pPr>
      <w:bookmarkStart w:id="15" w:name="_Toc102660570"/>
      <w:bookmarkStart w:id="16" w:name="_Toc38640998"/>
      <w:bookmarkStart w:id="17" w:name="_Toc35595723"/>
      <w:r>
        <w:rPr>
          <w:rFonts w:hint="default" w:ascii="Times New Roman" w:hAnsi="Times New Roman" w:eastAsia="楷体_GB2312" w:cs="Times New Roman"/>
          <w:b w:val="0"/>
          <w:bCs w:val="0"/>
          <w:sz w:val="32"/>
          <w:szCs w:val="32"/>
          <w:lang w:eastAsia="zh-CN"/>
        </w:rPr>
        <w:t>（一）形势要求</w:t>
      </w:r>
      <w:bookmarkEnd w:id="15"/>
      <w:bookmarkEnd w:id="16"/>
      <w:bookmarkEnd w:id="17"/>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国家层面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针对现阶段我国发展阶段以及外部环境、条件的变化，中央提出要推动形成以国内大循环为主体、国内国际双循环相互促进的新发展格局。通过供给侧结构性改革，加快产业结构调整，实现产业结构的优化升级。畅通国内供需循环，通过持续做大做强国内市场，增强对全球产业链和高水平外资的吸引力，同时加强以消费作为主要的拉动力，引导消费品质从中低端向中高端，消费形态从物质型向服务型的转变，消费结构升级成为经济转型发展的重要驱动力。畅通国际供需循环，充分发挥自身在全球产业链供应链中的重要作用，实现外贸由量的扩张向质的提升转变。</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紧紧围绕“重要窗口”，高水平建设交通强省样板。在“两个一百年”奋斗目标历史交汇期，开启全面建设社会主义现代化国家新征程，向第二个百年奋斗目标进军。“十四五”时期是交通运输由“基本适应”向“提质增效”的转换期，是基础设施网络完善、运输服务水平提高的关键期。党的十九大作出了建设交通强国的重大战略决策，显著提升了交通运输在社会主义现代化强国建设和现代化经济体系中的战略地位。在《交通强国建设纲要》宣贯暨试点工作部署视频会议中，浙江入选首批交通强国建设试点，力争用1-2年时间取得试点任务的阶段性成果，用3-5年时间取得相对完善的系统性成果，打造一批先行先试典型样板。浙江的交通发展也将进入新阶段、开启新征程，全力打造交通强国建设示范区、更高质量发展先行区、人民满意交通样板区。</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是全面推进交通强国建设的第一个五年，平阳应紧紧围绕交通强国建设这一长远战略目标，对照交通强国建设纲要、国家合立体交通网规划纲要等部署要求，加快综合交通网联网贯通，推动各种运输方式一体化融合发展，提升综合运输整体优势和组合效率，加快构建安全、便捷、高效、绿色、经济的现代化综合交通体系，协助构建区域一体化综合立体交通网络，切实负担起建设交通强国赋予平阳的新使命。</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 xml:space="preserve">省级层面 </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我省深入贯彻落实习近平总书记考察浙江重要讲话精神，对标</w:t>
      </w:r>
      <w:r>
        <w:rPr>
          <w:rFonts w:hint="eastAsia" w:cs="Times New Roman"/>
          <w:sz w:val="32"/>
          <w:szCs w:val="32"/>
          <w:lang w:eastAsia="zh-CN"/>
        </w:rPr>
        <w:t>习</w:t>
      </w:r>
      <w:r>
        <w:rPr>
          <w:rFonts w:hint="default" w:ascii="Times New Roman" w:hAnsi="Times New Roman" w:cs="Times New Roman"/>
          <w:sz w:val="32"/>
          <w:szCs w:val="32"/>
        </w:rPr>
        <w:t>近平总书记对浙江工作提出的“努力成为新时代全面展示中国特色社会主义制度优越性的重要窗口”这一新目标新定位，持之以恒大抓交通、抓大交通，加快建设高水平交通强省。交通是经济社会发展的先行官，也是“重要窗口”建设的先行领域，对提高竞争力、推进现代化、展示优越性具有重要的先导作用、支撑作用和带动作用。“十四五”时期是“两个高水平”建设取得新进展、“八八战略”再深化、改革开放再出发的关键时期，应聚焦省域、市域、城区3个“1小时交通圈”、世界一流强港、智慧高速公路、高水平“四好农村路”建设和“四港”联动发展，全面完成“1210”交通强省行动计划。“十四五”时期浙江省综合交通将着力构建立体高效的综合交通网络，重点推进关键通道能力提升、加密拓展网络覆盖和综合交通枢纽建设，要求平阳加快打造多层次交通骨架网络，加强与国土空间规划的衔接，以谋划实施一批重大交通投资项目为抓手，全力实施交通“三区”建设，努力建设人民满意交通，为社会</w:t>
      </w:r>
      <w:r>
        <w:rPr>
          <w:rFonts w:hint="eastAsia" w:cs="Times New Roman"/>
          <w:sz w:val="32"/>
          <w:szCs w:val="32"/>
          <w:lang w:eastAsia="zh-CN"/>
        </w:rPr>
        <w:t>主义</w:t>
      </w:r>
      <w:bookmarkStart w:id="116" w:name="_GoBack"/>
      <w:bookmarkEnd w:id="116"/>
      <w:r>
        <w:rPr>
          <w:rFonts w:hint="default" w:ascii="Times New Roman" w:hAnsi="Times New Roman" w:cs="Times New Roman"/>
          <w:sz w:val="32"/>
          <w:szCs w:val="32"/>
        </w:rPr>
        <w:t>现代化强国当好先行官。</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温州市级层面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介于发达的长江三角洲与正在快速发展的海峡西岸经济区之间，向北接受长三角地区的经济辐射和产业转移，向南可融入海峡西岸经济区，具有明显的区位优势。“十四五”期间，温州将以加快建设“五城五高地”为重要支撑，全力“做强全省第三极、建好长三角南大门”，高质量完成交通强国建设试点，加快形成枢纽能级强、出行品质优、运输效率高、行业治理智的现代化综合交通运输体系，综合交通网络更加完善，运输服务水平大幅提升，先行引领作用明显增强，基本建成全国性综合交通枢纽。其中作为温州都市区南部副中心的组成部分，平阳应牢牢把握鳌江流域一体化发展历史机遇期，以综合交通廊道为支撑，推动运输通道内资源优化配置，主动融入、积极对接、双向发力，加快推进温州南部交通一体化。平阳要积极融入省域和温州大都市区交通格，加快县域和城市的对外交通和站场建设，提高区域交通一体化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4</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平阳县级层面</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中共平阳县委</w:t>
      </w:r>
      <w:r>
        <w:rPr>
          <w:rFonts w:hint="default" w:cs="Times New Roman"/>
          <w:sz w:val="32"/>
          <w:szCs w:val="32"/>
          <w:lang w:val="en"/>
        </w:rPr>
        <w:t>第十三次党代会</w:t>
      </w:r>
      <w:r>
        <w:rPr>
          <w:rFonts w:hint="default" w:ascii="Times New Roman" w:hAnsi="Times New Roman" w:cs="Times New Roman"/>
          <w:sz w:val="32"/>
          <w:szCs w:val="32"/>
        </w:rPr>
        <w:t xml:space="preserve">第四次会议确立了平阳锚定加快建设温州大都市区副中心的奋斗目标、全力打造“三区两中心”、深入践行“一三五”工作路径、持续奋战“十大攻坚行动”的决策部署。交通运输是国民经济的基础性、先导性产业，要求平阳加快推动基础设施建设，整合公、铁、水、航各种交通运输资源，优化运输结构，构建布局完善、互联互通、能力充分、安全可靠的县域综合立体交通网络体系，助力县域三区联动发展，为现代化产业发展提供有力支撑。 </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楷体_GB2312" w:cs="Times New Roman"/>
          <w:b w:val="0"/>
          <w:bCs w:val="0"/>
          <w:sz w:val="32"/>
          <w:szCs w:val="32"/>
          <w:lang w:val="en-US" w:eastAsia="zh-CN"/>
        </w:rPr>
      </w:pPr>
      <w:bookmarkStart w:id="18" w:name="_Toc102660571"/>
      <w:r>
        <w:rPr>
          <w:rFonts w:hint="default" w:ascii="Times New Roman" w:hAnsi="Times New Roman" w:eastAsia="楷体_GB2312" w:cs="Times New Roman"/>
          <w:b w:val="0"/>
          <w:bCs w:val="0"/>
          <w:sz w:val="32"/>
          <w:szCs w:val="32"/>
          <w:lang w:val="en-US" w:eastAsia="zh-CN"/>
        </w:rPr>
        <w:t>（二）发展需求</w:t>
      </w:r>
      <w:bookmarkEnd w:id="18"/>
      <w:bookmarkStart w:id="19" w:name="_Toc35595497"/>
    </w:p>
    <w:bookmarkEnd w:id="19"/>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经济发展总体进入趋势性放缓和结构性调整的重要阶段。随着平阳县经济总量规模不断提高，人们生活更加殷实富裕，客货运输交通需求总量随经济发展和人们生活水平提高而稳步增长，对交通服务品质的要求也不断提高，这将带来交通运输需求总量、客货运输和不同运输方式间结构分布的变化。</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1</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需求特征</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bookmarkStart w:id="20" w:name="_Toc502305914"/>
      <w:r>
        <w:rPr>
          <w:rFonts w:hint="default" w:ascii="Times New Roman" w:hAnsi="Times New Roman" w:cs="Times New Roman"/>
          <w:b w:val="0"/>
          <w:bCs w:val="0"/>
          <w:sz w:val="32"/>
          <w:szCs w:val="32"/>
          <w:lang w:val="en-US" w:eastAsia="zh-CN"/>
        </w:rPr>
        <w:t>（1）客运需求总量不断</w:t>
      </w:r>
      <w:bookmarkEnd w:id="20"/>
      <w:r>
        <w:rPr>
          <w:rFonts w:hint="default" w:ascii="Times New Roman" w:hAnsi="Times New Roman" w:cs="Times New Roman"/>
          <w:b w:val="0"/>
          <w:bCs w:val="0"/>
          <w:sz w:val="32"/>
          <w:szCs w:val="32"/>
          <w:lang w:val="en-US" w:eastAsia="zh-CN"/>
        </w:rPr>
        <w:t>增加，铁路占比显著提高</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平阳县客运需求总量持续增加，增速不断加快。2010年至2019年，平阳县历年客运量发展整体呈现波动上升的趋势，客运需求总量不断增加。未来平阳县跨区域、城市内部交通出行需求总规模将持续增长，对交通出行方式的快速性、便捷性、舒适性等品质要求将不断提高。在甬台温高铁、高等级公路网络不断完善的交通网络新格局下，公共交通旅客运输的分担率将不断提高。水运客运量保持小基数增长，运输结构占比仍然不高。</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bookmarkStart w:id="21" w:name="_Toc502305916"/>
      <w:r>
        <w:rPr>
          <w:rFonts w:hint="default" w:ascii="Times New Roman" w:hAnsi="Times New Roman" w:cs="Times New Roman"/>
          <w:b w:val="0"/>
          <w:bCs w:val="0"/>
          <w:sz w:val="32"/>
          <w:szCs w:val="32"/>
          <w:lang w:val="en-US" w:eastAsia="zh-CN"/>
        </w:rPr>
        <w:t>（2）货物运输结构不断优化</w:t>
      </w:r>
      <w:bookmarkEnd w:id="21"/>
      <w:r>
        <w:rPr>
          <w:rFonts w:hint="default" w:ascii="Times New Roman" w:hAnsi="Times New Roman" w:cs="Times New Roman"/>
          <w:b w:val="0"/>
          <w:bCs w:val="0"/>
          <w:sz w:val="32"/>
          <w:szCs w:val="32"/>
          <w:lang w:val="en-US" w:eastAsia="zh-CN"/>
        </w:rPr>
        <w:t>，水运运输逐步复苏</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随着经济结构和产业结构的不断变化，平阳逐步进入后工业化阶段，第三产业比重将显著提高。总体上看，2010年至2019年平阳县货运量发展势头并不明显。但随着经济持续快速稳定增长、经济规模继续扩大，货物运输需求也将保持一定速度增长，运输结构日趋合理。随着平阳港区的不断发展，多式联运需求规模和占比将不断提高，铁路集装箱运输得到发展。快递物流运输需求将从爆发式增长转向快速增长，冷链物流和农村物流运输需求增长空间巨大，公路货运将在短途运输中发挥更大作用。“十四五”时期，全县水运的货运占比将略有上升，但公路仍将占据货运主体地位。</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平阳县2010-2018年客货运量（万人、万吨）</w:t>
      </w:r>
    </w:p>
    <w:tbl>
      <w:tblPr>
        <w:tblStyle w:val="16"/>
        <w:tblW w:w="87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972"/>
        <w:gridCol w:w="992"/>
        <w:gridCol w:w="992"/>
        <w:gridCol w:w="992"/>
        <w:gridCol w:w="993"/>
        <w:gridCol w:w="992"/>
        <w:gridCol w:w="996"/>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Merge w:val="restart"/>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年份</w:t>
            </w:r>
          </w:p>
        </w:tc>
        <w:tc>
          <w:tcPr>
            <w:tcW w:w="196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铁路</w:t>
            </w:r>
          </w:p>
        </w:tc>
        <w:tc>
          <w:tcPr>
            <w:tcW w:w="198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公路</w:t>
            </w:r>
          </w:p>
        </w:tc>
        <w:tc>
          <w:tcPr>
            <w:tcW w:w="1985"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水运</w:t>
            </w:r>
          </w:p>
        </w:tc>
        <w:tc>
          <w:tcPr>
            <w:tcW w:w="1984"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全方式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Merge w:val="continue"/>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2010</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2845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690</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12.21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72.98</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2857.21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762.98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2011</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3545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656</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12.52</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80.39</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3557.52</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736.39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2012</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3198</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706</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12.51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78.18</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3210.51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784.18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2013</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2747</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558</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13.56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70.82</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2760.56</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628.82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2014</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2626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543</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18.73</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72.95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2644.73</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615.95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2015</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3201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625</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13.33</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53.6</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3214.33</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678.60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2016</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3018</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701</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15.21</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63.25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3033.21</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764.25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2017</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2992</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473</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17.99</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87.95</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3009.99</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560.95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1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2018</w:t>
            </w:r>
          </w:p>
        </w:tc>
        <w:tc>
          <w:tcPr>
            <w:tcW w:w="97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3985</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639</w:t>
            </w:r>
          </w:p>
        </w:tc>
        <w:tc>
          <w:tcPr>
            <w:tcW w:w="99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15.36</w:t>
            </w:r>
          </w:p>
        </w:tc>
        <w:tc>
          <w:tcPr>
            <w:tcW w:w="99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37.56</w:t>
            </w:r>
          </w:p>
        </w:tc>
        <w:tc>
          <w:tcPr>
            <w:tcW w:w="9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4000.36</w:t>
            </w:r>
          </w:p>
        </w:tc>
        <w:tc>
          <w:tcPr>
            <w:tcW w:w="988"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rPr>
                <w:rFonts w:hint="default" w:ascii="Times New Roman" w:hAnsi="Times New Roman" w:cs="Times New Roman"/>
                <w:sz w:val="24"/>
                <w:szCs w:val="24"/>
              </w:rPr>
            </w:pPr>
            <w:r>
              <w:rPr>
                <w:rFonts w:hint="default" w:ascii="Times New Roman" w:hAnsi="Times New Roman" w:cs="Times New Roman"/>
                <w:sz w:val="24"/>
                <w:szCs w:val="24"/>
              </w:rPr>
              <w:t>676.56</w:t>
            </w:r>
          </w:p>
        </w:tc>
      </w:tr>
    </w:tbl>
    <w:p>
      <w:pPr>
        <w:keepNext w:val="0"/>
        <w:keepLines w:val="0"/>
        <w:pageBreakBefore w:val="0"/>
        <w:widowControl w:val="0"/>
        <w:kinsoku/>
        <w:wordWrap/>
        <w:overflowPunct/>
        <w:topLinePunct w:val="0"/>
        <w:autoSpaceDE/>
        <w:autoSpaceDN/>
        <w:bidi w:val="0"/>
        <w:adjustRightInd/>
        <w:snapToGrid w:val="0"/>
        <w:spacing w:line="240" w:lineRule="auto"/>
        <w:ind w:firstLine="560"/>
        <w:textAlignment w:val="auto"/>
        <w:rPr>
          <w:rFonts w:hint="default" w:ascii="Times New Roman" w:hAnsi="Times New Roman" w:cs="Times New Roman"/>
          <w:szCs w:val="28"/>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right="0" w:firstLine="0" w:firstLineChars="0"/>
        <w:jc w:val="center"/>
        <w:textAlignment w:val="auto"/>
        <w:rPr>
          <w:rFonts w:hint="default" w:ascii="Times New Roman" w:hAnsi="Times New Roman" w:cs="Times New Roman"/>
        </w:rPr>
      </w:pPr>
      <w:r>
        <w:rPr>
          <w:rFonts w:hint="default" w:ascii="Times New Roman" w:hAnsi="Times New Roman" w:eastAsia="仿宋_GB2312" w:cs="Times New Roman"/>
          <w:snapToGrid/>
          <w:kern w:val="2"/>
          <w:sz w:val="28"/>
          <w:szCs w:val="28"/>
          <w:lang w:val="en-US" w:eastAsia="zh-CN" w:bidi="ar"/>
        </w:rPr>
        <w:drawing>
          <wp:inline distT="0" distB="0" distL="114300" distR="114300">
            <wp:extent cx="4211955" cy="2447290"/>
            <wp:effectExtent l="0" t="0" r="17145" b="10160"/>
            <wp:docPr id="1" name="图片 1"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true"/>
                    </pic:cNvPicPr>
                  </pic:nvPicPr>
                  <pic:blipFill>
                    <a:blip r:embed="rId12"/>
                    <a:stretch>
                      <a:fillRect/>
                    </a:stretch>
                  </pic:blipFill>
                  <pic:spPr>
                    <a:xfrm>
                      <a:off x="0" y="0"/>
                      <a:ext cx="4211955" cy="2447290"/>
                    </a:xfrm>
                    <a:prstGeom prst="rect">
                      <a:avLst/>
                    </a:prstGeom>
                    <a:noFill/>
                    <a:ln w="9525">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图2-1</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平阳县2010-2018年客运量（万人）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cs="Times New Roman"/>
          <w:szCs w:val="28"/>
        </w:rPr>
      </w:pPr>
      <w:r>
        <w:rPr>
          <w:rFonts w:hint="default" w:ascii="Times New Roman" w:hAnsi="Times New Roman" w:eastAsia="仿宋_GB2312" w:cs="Times New Roman"/>
          <w:snapToGrid/>
          <w:kern w:val="2"/>
          <w:sz w:val="28"/>
          <w:szCs w:val="28"/>
          <w:lang w:val="en-US" w:eastAsia="zh-CN" w:bidi="ar"/>
        </w:rPr>
        <w:drawing>
          <wp:inline distT="0" distB="0" distL="114300" distR="114300">
            <wp:extent cx="4283710" cy="2489200"/>
            <wp:effectExtent l="0" t="0" r="2540" b="6350"/>
            <wp:docPr id="2" name="图片 2" descr="IMG_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true"/>
                    </pic:cNvPicPr>
                  </pic:nvPicPr>
                  <pic:blipFill>
                    <a:blip r:embed="rId13"/>
                    <a:stretch>
                      <a:fillRect/>
                    </a:stretch>
                  </pic:blipFill>
                  <pic:spPr>
                    <a:xfrm>
                      <a:off x="0" y="0"/>
                      <a:ext cx="4283710" cy="2489200"/>
                    </a:xfrm>
                    <a:prstGeom prst="rect">
                      <a:avLst/>
                    </a:prstGeom>
                    <a:noFill/>
                    <a:ln w="9525">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图2-2</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平阳县2010-2018年货运量（万吨）</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2</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需求预测</w:t>
      </w:r>
    </w:p>
    <w:p>
      <w:pPr>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综合考虑历年各运输方式发展态势以及未来平阳社会、经济、产业和交通发展趋势的判断，分别采用回归模型、对数模型、弹性系数模型三种预测方法，对平阳县2025年的区域客、货运交通需求进行预测。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（1）回归模型</w:t>
      </w:r>
    </w:p>
    <w:p>
      <w:pPr>
        <w:pStyle w:val="23"/>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由基础数据获得：</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表2-2</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客货运量回归预测模型</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2"/>
        <w:gridCol w:w="3796"/>
        <w:gridCol w:w="3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预测指标</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回归函数</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相关系数（R</w:t>
            </w:r>
            <w:r>
              <w:rPr>
                <w:rFonts w:hint="default" w:ascii="Times New Roman" w:hAnsi="Times New Roman" w:cs="Times New Roman"/>
                <w:b/>
                <w:bCs/>
                <w:sz w:val="24"/>
                <w:szCs w:val="24"/>
                <w:vertAlign w:val="superscript"/>
              </w:rPr>
              <w:t>2</w:t>
            </w:r>
            <w:r>
              <w:rPr>
                <w:rFonts w:hint="default" w:ascii="Times New Roman" w:hAnsi="Times New Roman" w:cs="Times New Roma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客运量</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251.09x - 503009</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0.7425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货运量</w:t>
            </w:r>
          </w:p>
        </w:tc>
        <w:tc>
          <w:tcPr>
            <w:tcW w:w="3796"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10.199x - 19896</w:t>
            </w:r>
          </w:p>
        </w:tc>
        <w:tc>
          <w:tcPr>
            <w:tcW w:w="302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0.0666</w:t>
            </w:r>
          </w:p>
        </w:tc>
      </w:tr>
    </w:tbl>
    <w:p>
      <w:pPr>
        <w:keepNext w:val="0"/>
        <w:keepLines w:val="0"/>
        <w:pageBreakBefore w:val="0"/>
        <w:widowControl w:val="0"/>
        <w:kinsoku/>
        <w:wordWrap/>
        <w:overflowPunct/>
        <w:topLinePunct w:val="0"/>
        <w:autoSpaceDE/>
        <w:autoSpaceDN/>
        <w:bidi w:val="0"/>
        <w:adjustRightInd/>
        <w:snapToGrid w:val="0"/>
        <w:spacing w:beforeLines="50"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根据回归模型计算得到“十四五”时期平阳县客货运量如下表。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回归模型预测结果</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7"/>
        <w:gridCol w:w="3252"/>
        <w:gridCol w:w="3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年份</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客运量（万人）</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货运量（万吨）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2018年</w:t>
            </w:r>
          </w:p>
        </w:tc>
        <w:tc>
          <w:tcPr>
            <w:tcW w:w="3252" w:type="dxa"/>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 xml:space="preserve">4000.36 </w:t>
            </w:r>
          </w:p>
        </w:tc>
        <w:tc>
          <w:tcPr>
            <w:tcW w:w="3252" w:type="dxa"/>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sz w:val="24"/>
                <w:szCs w:val="24"/>
              </w:rPr>
              <w:t xml:space="preserve">676.56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2021年</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4443.89</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716.18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39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2025年</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5448.25</w:t>
            </w:r>
          </w:p>
        </w:tc>
        <w:tc>
          <w:tcPr>
            <w:tcW w:w="325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756.97</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（2）对数模型</w:t>
      </w:r>
    </w:p>
    <w:p>
      <w:pPr>
        <w:pStyle w:val="23"/>
        <w:keepNext w:val="0"/>
        <w:keepLines w:val="0"/>
        <w:pageBreakBefore w:val="0"/>
        <w:widowControl w:val="0"/>
        <w:kinsoku/>
        <w:wordWrap/>
        <w:overflowPunct/>
        <w:topLinePunct w:val="0"/>
        <w:autoSpaceDE/>
        <w:autoSpaceDN/>
        <w:bidi w:val="0"/>
        <w:spacing w:line="560" w:lineRule="exact"/>
        <w:ind w:firstLine="56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由基础数据获得：</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表2-4</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客货运量对数预测模型</w:t>
      </w:r>
    </w:p>
    <w:tbl>
      <w:tblPr>
        <w:tblStyle w:val="16"/>
        <w:tblW w:w="8901" w:type="dxa"/>
        <w:jc w:val="center"/>
        <w:tblLayout w:type="fixed"/>
        <w:tblCellMar>
          <w:top w:w="0" w:type="dxa"/>
          <w:left w:w="108" w:type="dxa"/>
          <w:bottom w:w="0" w:type="dxa"/>
          <w:right w:w="108" w:type="dxa"/>
        </w:tblCellMar>
      </w:tblPr>
      <w:tblGrid>
        <w:gridCol w:w="1868"/>
        <w:gridCol w:w="4090"/>
        <w:gridCol w:w="2943"/>
      </w:tblGrid>
      <w:tr>
        <w:tblPrEx>
          <w:tblCellMar>
            <w:top w:w="0" w:type="dxa"/>
            <w:left w:w="108" w:type="dxa"/>
            <w:bottom w:w="0" w:type="dxa"/>
            <w:right w:w="108" w:type="dxa"/>
          </w:tblCellMar>
        </w:tblPrEx>
        <w:trPr>
          <w:trHeight w:val="397" w:hRule="atLeast"/>
          <w:jc w:val="center"/>
        </w:trPr>
        <w:tc>
          <w:tcPr>
            <w:tcW w:w="1868"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预测指标</w:t>
            </w:r>
          </w:p>
        </w:tc>
        <w:tc>
          <w:tcPr>
            <w:tcW w:w="4090"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对数函数</w:t>
            </w:r>
          </w:p>
        </w:tc>
        <w:tc>
          <w:tcPr>
            <w:tcW w:w="2943"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b/>
                <w:bCs/>
                <w:sz w:val="24"/>
                <w:szCs w:val="24"/>
              </w:rPr>
            </w:pPr>
            <w:r>
              <w:rPr>
                <w:rFonts w:hint="default" w:ascii="Times New Roman" w:hAnsi="Times New Roman" w:cs="Times New Roman"/>
                <w:b/>
                <w:bCs/>
                <w:sz w:val="24"/>
                <w:szCs w:val="24"/>
              </w:rPr>
              <w:t>相关系数（R</w:t>
            </w:r>
            <w:r>
              <w:rPr>
                <w:rFonts w:hint="default" w:ascii="Times New Roman" w:hAnsi="Times New Roman" w:cs="Times New Roman"/>
                <w:b/>
                <w:bCs/>
                <w:sz w:val="24"/>
                <w:szCs w:val="24"/>
                <w:vertAlign w:val="superscript"/>
              </w:rPr>
              <w:t>2</w:t>
            </w:r>
            <w:r>
              <w:rPr>
                <w:rFonts w:hint="default" w:ascii="Times New Roman" w:hAnsi="Times New Roman" w:cs="Times New Roman"/>
                <w:b/>
                <w:bCs/>
                <w:sz w:val="24"/>
                <w:szCs w:val="24"/>
              </w:rPr>
              <w:t>）</w:t>
            </w:r>
          </w:p>
        </w:tc>
      </w:tr>
      <w:tr>
        <w:tblPrEx>
          <w:tblCellMar>
            <w:top w:w="0" w:type="dxa"/>
            <w:left w:w="108" w:type="dxa"/>
            <w:bottom w:w="0" w:type="dxa"/>
            <w:right w:w="108" w:type="dxa"/>
          </w:tblCellMar>
        </w:tblPrEx>
        <w:trPr>
          <w:trHeight w:val="397" w:hRule="atLeast"/>
          <w:jc w:val="center"/>
        </w:trPr>
        <w:tc>
          <w:tcPr>
            <w:tcW w:w="1868"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客运量</w:t>
            </w:r>
          </w:p>
        </w:tc>
        <w:tc>
          <w:tcPr>
            <w:tcW w:w="4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=506286ln(x) - 3849087</w:t>
            </w:r>
          </w:p>
        </w:tc>
        <w:tc>
          <w:tcPr>
            <w:tcW w:w="294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0.7424</w:t>
            </w:r>
          </w:p>
        </w:tc>
      </w:tr>
      <w:tr>
        <w:tblPrEx>
          <w:tblCellMar>
            <w:top w:w="0" w:type="dxa"/>
            <w:left w:w="108" w:type="dxa"/>
            <w:bottom w:w="0" w:type="dxa"/>
            <w:right w:w="108" w:type="dxa"/>
          </w:tblCellMar>
        </w:tblPrEx>
        <w:trPr>
          <w:trHeight w:val="397" w:hRule="atLeast"/>
          <w:jc w:val="center"/>
        </w:trPr>
        <w:tc>
          <w:tcPr>
            <w:tcW w:w="1868"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货运量</w:t>
            </w:r>
          </w:p>
        </w:tc>
        <w:tc>
          <w:tcPr>
            <w:tcW w:w="4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y = 20566ln(x)-155817</w:t>
            </w:r>
          </w:p>
        </w:tc>
        <w:tc>
          <w:tcPr>
            <w:tcW w:w="294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4"/>
              </w:rPr>
            </w:pPr>
            <w:r>
              <w:rPr>
                <w:rFonts w:hint="default" w:ascii="Times New Roman" w:hAnsi="Times New Roman" w:cs="Times New Roman"/>
                <w:sz w:val="24"/>
                <w:szCs w:val="24"/>
              </w:rPr>
              <w:t>0.0666</w:t>
            </w:r>
          </w:p>
        </w:tc>
      </w:tr>
    </w:tbl>
    <w:p>
      <w:pPr>
        <w:keepNext w:val="0"/>
        <w:keepLines w:val="0"/>
        <w:pageBreakBefore w:val="0"/>
        <w:widowControl w:val="0"/>
        <w:kinsoku/>
        <w:wordWrap/>
        <w:overflowPunct/>
        <w:topLinePunct w:val="0"/>
        <w:autoSpaceDE/>
        <w:autoSpaceDN/>
        <w:bidi w:val="0"/>
        <w:adjustRightInd/>
        <w:snapToGrid w:val="0"/>
        <w:spacing w:beforeLines="50" w:line="560" w:lineRule="exact"/>
        <w:ind w:firstLine="560"/>
        <w:textAlignment w:val="auto"/>
        <w:rPr>
          <w:rFonts w:hint="default" w:ascii="Times New Roman" w:hAnsi="Times New Roman" w:cs="Times New Roman"/>
          <w:sz w:val="32"/>
          <w:szCs w:val="32"/>
        </w:rPr>
      </w:pPr>
      <w:bookmarkStart w:id="22" w:name="_Hlk38209857"/>
      <w:r>
        <w:rPr>
          <w:rFonts w:hint="default" w:ascii="Times New Roman" w:hAnsi="Times New Roman" w:cs="Times New Roman"/>
          <w:sz w:val="32"/>
          <w:szCs w:val="32"/>
        </w:rPr>
        <w:t>根据对数模型计算得到“十四五”时期平阳县客货运量如下表。</w:t>
      </w:r>
    </w:p>
    <w:bookmarkEnd w:id="22"/>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表2-5</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对数模型预测结果</w:t>
      </w:r>
    </w:p>
    <w:tbl>
      <w:tblPr>
        <w:tblStyle w:val="16"/>
        <w:tblW w:w="8901" w:type="dxa"/>
        <w:jc w:val="center"/>
        <w:tblLayout w:type="fixed"/>
        <w:tblCellMar>
          <w:top w:w="0" w:type="dxa"/>
          <w:left w:w="108" w:type="dxa"/>
          <w:bottom w:w="0" w:type="dxa"/>
          <w:right w:w="108" w:type="dxa"/>
        </w:tblCellMar>
      </w:tblPr>
      <w:tblGrid>
        <w:gridCol w:w="1931"/>
        <w:gridCol w:w="3485"/>
        <w:gridCol w:w="3485"/>
      </w:tblGrid>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4000.36 </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676.56 </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4435.08</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717.98</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5436.14</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758.64</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cs="Times New Roman"/>
          <w:b w:val="0"/>
          <w:bCs w:val="0"/>
          <w:sz w:val="32"/>
          <w:szCs w:val="32"/>
          <w:lang w:val="en-US" w:eastAsia="zh-CN"/>
        </w:rPr>
        <w:t>（3）</w:t>
      </w:r>
      <w:r>
        <w:rPr>
          <w:rFonts w:hint="default" w:ascii="Times New Roman" w:hAnsi="Times New Roman" w:eastAsia="仿宋_GB2312" w:cs="Times New Roman"/>
          <w:b w:val="0"/>
          <w:bCs w:val="0"/>
          <w:sz w:val="32"/>
          <w:szCs w:val="32"/>
          <w:lang w:val="en-US" w:eastAsia="zh-CN"/>
        </w:rPr>
        <w:t>弹性系数模型</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表2-6</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平阳县2015-2019年GDP发展情况</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5"/>
        <w:gridCol w:w="1181"/>
        <w:gridCol w:w="1181"/>
        <w:gridCol w:w="1181"/>
        <w:gridCol w:w="1181"/>
        <w:gridCol w:w="1181"/>
        <w:gridCol w:w="1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5"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2015</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2016</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2017</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15"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GDP(亿元)</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342.49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372.91</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410.46</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460.17</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510.29</w:t>
            </w:r>
          </w:p>
        </w:tc>
        <w:tc>
          <w:tcPr>
            <w:tcW w:w="1181"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534.15</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firstLine="560"/>
        <w:textAlignment w:val="auto"/>
        <w:rPr>
          <w:rFonts w:hint="default" w:ascii="Times New Roman" w:hAnsi="Times New Roman" w:cs="Times New Roman"/>
          <w:szCs w:val="28"/>
        </w:rPr>
      </w:pPr>
      <w:r>
        <w:rPr>
          <w:rFonts w:hint="default" w:ascii="Times New Roman" w:hAnsi="Times New Roman" w:cs="Times New Roman"/>
          <w:sz w:val="32"/>
          <w:szCs w:val="32"/>
        </w:rPr>
        <w:t>根据平阳县历年GDP的增长率，结合区域弹性系数指标，计算得到</w:t>
      </w:r>
      <w:r>
        <w:rPr>
          <w:rFonts w:hint="default" w:ascii="Times New Roman" w:hAnsi="Times New Roman" w:cs="Times New Roman"/>
          <w:szCs w:val="28"/>
        </w:rPr>
        <w:t>未来运输指标变化百分率如下表。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表2-7</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弹性系数模型预测指标</w:t>
      </w:r>
    </w:p>
    <w:tbl>
      <w:tblPr>
        <w:tblStyle w:val="16"/>
        <w:tblW w:w="8901" w:type="dxa"/>
        <w:jc w:val="center"/>
        <w:tblLayout w:type="fixed"/>
        <w:tblCellMar>
          <w:top w:w="0" w:type="dxa"/>
          <w:left w:w="108" w:type="dxa"/>
          <w:bottom w:w="0" w:type="dxa"/>
          <w:right w:w="108" w:type="dxa"/>
        </w:tblCellMar>
      </w:tblPr>
      <w:tblGrid>
        <w:gridCol w:w="3731"/>
        <w:gridCol w:w="2585"/>
        <w:gridCol w:w="2585"/>
      </w:tblGrid>
      <w:tr>
        <w:tblPrEx>
          <w:tblCellMar>
            <w:top w:w="0" w:type="dxa"/>
            <w:left w:w="108" w:type="dxa"/>
            <w:bottom w:w="0" w:type="dxa"/>
            <w:right w:w="108" w:type="dxa"/>
          </w:tblCellMar>
        </w:tblPrEx>
        <w:trPr>
          <w:trHeight w:val="397" w:hRule="atLeast"/>
          <w:jc w:val="center"/>
        </w:trPr>
        <w:tc>
          <w:tcPr>
            <w:tcW w:w="37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指标名称</w:t>
            </w:r>
          </w:p>
        </w:tc>
        <w:tc>
          <w:tcPr>
            <w:tcW w:w="5170"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指标值</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5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2019-2020</w:t>
            </w:r>
          </w:p>
        </w:tc>
        <w:tc>
          <w:tcPr>
            <w:tcW w:w="25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2021-2025</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经济指标变化百分率</w:t>
            </w:r>
          </w:p>
        </w:tc>
        <w:tc>
          <w:tcPr>
            <w:tcW w:w="5170"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10.5%</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弹性系数</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0.68</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0.58</w:t>
            </w:r>
          </w:p>
        </w:tc>
      </w:tr>
      <w:tr>
        <w:tblPrEx>
          <w:tblCellMar>
            <w:top w:w="0" w:type="dxa"/>
            <w:left w:w="108" w:type="dxa"/>
            <w:bottom w:w="0" w:type="dxa"/>
            <w:right w:w="108" w:type="dxa"/>
          </w:tblCellMar>
        </w:tblPrEx>
        <w:trPr>
          <w:trHeight w:val="397" w:hRule="atLeast"/>
          <w:jc w:val="center"/>
        </w:trPr>
        <w:tc>
          <w:tcPr>
            <w:tcW w:w="37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运输指标变化百分率</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7.14%</w:t>
            </w:r>
          </w:p>
        </w:tc>
        <w:tc>
          <w:tcPr>
            <w:tcW w:w="25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6.9%</w:t>
            </w:r>
          </w:p>
        </w:tc>
      </w:tr>
    </w:tbl>
    <w:p>
      <w:pPr>
        <w:keepNext w:val="0"/>
        <w:keepLines w:val="0"/>
        <w:pageBreakBefore w:val="0"/>
        <w:widowControl w:val="0"/>
        <w:kinsoku/>
        <w:wordWrap/>
        <w:overflowPunct/>
        <w:topLinePunct w:val="0"/>
        <w:autoSpaceDE/>
        <w:autoSpaceDN/>
        <w:bidi w:val="0"/>
        <w:adjustRightInd/>
        <w:snapToGrid w:val="0"/>
        <w:spacing w:before="79" w:beforeLines="25"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根据弹性系数模型计算得到“十四五”时期平阳县客货运量如下表。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表2-8</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弹性系数模型预测结果</w:t>
      </w:r>
    </w:p>
    <w:tbl>
      <w:tblPr>
        <w:tblStyle w:val="16"/>
        <w:tblW w:w="8901" w:type="dxa"/>
        <w:jc w:val="center"/>
        <w:tblLayout w:type="fixed"/>
        <w:tblCellMar>
          <w:top w:w="0" w:type="dxa"/>
          <w:left w:w="108" w:type="dxa"/>
          <w:bottom w:w="0" w:type="dxa"/>
          <w:right w:w="108" w:type="dxa"/>
        </w:tblCellMar>
      </w:tblPr>
      <w:tblGrid>
        <w:gridCol w:w="1931"/>
        <w:gridCol w:w="3485"/>
        <w:gridCol w:w="3485"/>
      </w:tblGrid>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485"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1931" w:type="dxa"/>
            <w:tcBorders>
              <w:top w:val="single" w:color="auto" w:sz="4" w:space="0"/>
              <w:left w:val="single" w:color="auto" w:sz="4" w:space="0"/>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4000.36 </w:t>
            </w:r>
          </w:p>
        </w:tc>
        <w:tc>
          <w:tcPr>
            <w:tcW w:w="3485" w:type="dxa"/>
            <w:tcBorders>
              <w:top w:val="single" w:color="auto" w:sz="4" w:space="0"/>
              <w:left w:val="nil"/>
              <w:bottom w:val="single" w:color="auto" w:sz="4" w:space="0"/>
              <w:right w:val="single" w:color="auto" w:sz="4" w:space="0"/>
            </w:tcBorders>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 xml:space="preserve">676.56 </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2021年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4591.59</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776.62</w:t>
            </w:r>
          </w:p>
        </w:tc>
      </w:tr>
      <w:tr>
        <w:tblPrEx>
          <w:tblCellMar>
            <w:top w:w="0" w:type="dxa"/>
            <w:left w:w="108" w:type="dxa"/>
            <w:bottom w:w="0" w:type="dxa"/>
            <w:right w:w="108" w:type="dxa"/>
          </w:tblCellMar>
        </w:tblPrEx>
        <w:trPr>
          <w:trHeight w:val="397" w:hRule="atLeast"/>
          <w:jc w:val="center"/>
        </w:trPr>
        <w:tc>
          <w:tcPr>
            <w:tcW w:w="1931"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5996.16</w:t>
            </w:r>
          </w:p>
        </w:tc>
        <w:tc>
          <w:tcPr>
            <w:tcW w:w="3485"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1014.19</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（4）预测结果</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根据回归模型、对数模型和弹性系数模型，预计至2025年平阳县全社会客、货运量分别达到5626万人、843万吨。</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表2-9</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“十四五”期末平阳县全社会客货运量预测结果</w:t>
      </w:r>
    </w:p>
    <w:tbl>
      <w:tblPr>
        <w:tblStyle w:val="16"/>
        <w:tblW w:w="8901" w:type="dxa"/>
        <w:jc w:val="center"/>
        <w:tblLayout w:type="fixed"/>
        <w:tblCellMar>
          <w:top w:w="0" w:type="dxa"/>
          <w:left w:w="108" w:type="dxa"/>
          <w:bottom w:w="0" w:type="dxa"/>
          <w:right w:w="108" w:type="dxa"/>
        </w:tblCellMar>
      </w:tblPr>
      <w:tblGrid>
        <w:gridCol w:w="2722"/>
        <w:gridCol w:w="3089"/>
        <w:gridCol w:w="3090"/>
      </w:tblGrid>
      <w:tr>
        <w:tblPrEx>
          <w:tblCellMar>
            <w:top w:w="0" w:type="dxa"/>
            <w:left w:w="108" w:type="dxa"/>
            <w:bottom w:w="0" w:type="dxa"/>
            <w:right w:w="108" w:type="dxa"/>
          </w:tblCellMar>
        </w:tblPrEx>
        <w:trPr>
          <w:trHeight w:val="397" w:hRule="atLeast"/>
          <w:jc w:val="center"/>
        </w:trPr>
        <w:tc>
          <w:tcPr>
            <w:tcW w:w="2722" w:type="dxa"/>
            <w:tcBorders>
              <w:top w:val="single" w:color="auto" w:sz="4" w:space="0"/>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预测方法</w:t>
            </w:r>
          </w:p>
        </w:tc>
        <w:tc>
          <w:tcPr>
            <w:tcW w:w="3089"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客运量（万人）</w:t>
            </w:r>
          </w:p>
        </w:tc>
        <w:tc>
          <w:tcPr>
            <w:tcW w:w="3090" w:type="dxa"/>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货运量（万吨）</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回归模型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5448.25</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756.97</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对数模型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5436.14</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758.64</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弹性系数模型</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5996.16</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1014.19</w:t>
            </w:r>
          </w:p>
        </w:tc>
      </w:tr>
      <w:tr>
        <w:tblPrEx>
          <w:tblCellMar>
            <w:top w:w="0" w:type="dxa"/>
            <w:left w:w="108" w:type="dxa"/>
            <w:bottom w:w="0" w:type="dxa"/>
            <w:right w:w="108" w:type="dxa"/>
          </w:tblCellMar>
        </w:tblPrEx>
        <w:trPr>
          <w:trHeight w:val="397" w:hRule="atLeast"/>
          <w:jc w:val="center"/>
        </w:trPr>
        <w:tc>
          <w:tcPr>
            <w:tcW w:w="272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推荐取值</w:t>
            </w:r>
          </w:p>
        </w:tc>
        <w:tc>
          <w:tcPr>
            <w:tcW w:w="3089"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5626.85</w:t>
            </w:r>
          </w:p>
        </w:tc>
        <w:tc>
          <w:tcPr>
            <w:tcW w:w="3090"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843.26</w:t>
            </w:r>
          </w:p>
        </w:tc>
      </w:tr>
    </w:tbl>
    <w:p>
      <w:pPr>
        <w:keepNext w:val="0"/>
        <w:keepLines w:val="0"/>
        <w:pageBreakBefore w:val="0"/>
        <w:widowControl w:val="0"/>
        <w:kinsoku/>
        <w:wordWrap/>
        <w:overflowPunct/>
        <w:topLinePunct w:val="0"/>
        <w:autoSpaceDE/>
        <w:autoSpaceDN/>
        <w:bidi w:val="0"/>
        <w:adjustRightInd/>
        <w:snapToGrid w:val="0"/>
        <w:spacing w:before="157" w:beforeLines="50" w:line="560" w:lineRule="exact"/>
        <w:ind w:left="0" w:firstLine="560"/>
        <w:textAlignment w:val="auto"/>
        <w:rPr>
          <w:rFonts w:hint="default" w:ascii="Times New Roman" w:hAnsi="Times New Roman" w:cs="Times New Roman"/>
          <w:b/>
          <w:bCs/>
          <w:sz w:val="32"/>
          <w:szCs w:val="32"/>
          <w:lang w:val="en-US" w:eastAsia="zh-CN"/>
        </w:rPr>
      </w:pPr>
      <w:r>
        <w:rPr>
          <w:rFonts w:hint="default" w:ascii="Times New Roman" w:hAnsi="Times New Roman" w:cs="Times New Roman"/>
          <w:b/>
          <w:bCs/>
          <w:sz w:val="32"/>
          <w:szCs w:val="32"/>
          <w:lang w:val="en-US" w:eastAsia="zh-CN"/>
        </w:rPr>
        <w:t>3</w:t>
      </w:r>
      <w:r>
        <w:rPr>
          <w:rFonts w:hint="eastAsia" w:cs="Times New Roman"/>
          <w:b/>
          <w:bCs/>
          <w:sz w:val="32"/>
          <w:szCs w:val="32"/>
          <w:lang w:val="en-US" w:eastAsia="zh-CN"/>
        </w:rPr>
        <w:t>．</w:t>
      </w:r>
      <w:r>
        <w:rPr>
          <w:rFonts w:hint="default" w:ascii="Times New Roman" w:hAnsi="Times New Roman" w:cs="Times New Roman"/>
          <w:b/>
          <w:bCs/>
          <w:sz w:val="32"/>
          <w:szCs w:val="32"/>
          <w:lang w:val="en-US" w:eastAsia="zh-CN"/>
        </w:rPr>
        <w:t>运输结构预测</w:t>
      </w:r>
    </w:p>
    <w:p>
      <w:pPr>
        <w:keepNext w:val="0"/>
        <w:keepLines w:val="0"/>
        <w:pageBreakBefore w:val="0"/>
        <w:widowControl w:val="0"/>
        <w:kinsoku/>
        <w:wordWrap/>
        <w:overflowPunct/>
        <w:topLinePunct w:val="0"/>
        <w:autoSpaceDE/>
        <w:autoSpaceDN/>
        <w:bidi w:val="0"/>
        <w:adjustRightInd/>
        <w:snapToGrid w:val="0"/>
        <w:spacing w:line="560" w:lineRule="exact"/>
        <w:ind w:left="0" w:firstLine="560"/>
        <w:textAlignment w:val="auto"/>
        <w:rPr>
          <w:rFonts w:hint="default" w:ascii="Times New Roman" w:hAnsi="Times New Roman" w:cs="Times New Roman"/>
          <w:b w:val="0"/>
          <w:bCs w:val="0"/>
          <w:sz w:val="32"/>
          <w:szCs w:val="32"/>
          <w:lang w:val="en-US" w:eastAsia="zh-CN"/>
        </w:rPr>
      </w:pPr>
      <w:r>
        <w:rPr>
          <w:rFonts w:hint="default" w:ascii="Times New Roman" w:hAnsi="Times New Roman" w:cs="Times New Roman"/>
          <w:b w:val="0"/>
          <w:bCs w:val="0"/>
          <w:sz w:val="32"/>
          <w:szCs w:val="32"/>
          <w:lang w:val="en-US" w:eastAsia="zh-CN"/>
        </w:rPr>
        <w:t>从运输结构角度分析，未来铁路客运量和货运量以及水运货运量占比将迅速增长。</w:t>
      </w: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表2-10</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平阳县各运输方式客运量预测（万人）</w:t>
      </w:r>
    </w:p>
    <w:tbl>
      <w:tblPr>
        <w:tblStyle w:val="16"/>
        <w:tblW w:w="89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387"/>
        <w:gridCol w:w="1074"/>
        <w:gridCol w:w="1454"/>
        <w:gridCol w:w="974"/>
        <w:gridCol w:w="1467"/>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Merge w:val="restart"/>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461"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bookmarkStart w:id="23" w:name="RANGE!B24"/>
            <w:bookmarkEnd w:id="23"/>
            <w:r>
              <w:rPr>
                <w:rFonts w:hint="default" w:ascii="Times New Roman" w:hAnsi="Times New Roman" w:cs="Times New Roman"/>
                <w:sz w:val="24"/>
                <w:szCs w:val="22"/>
              </w:rPr>
              <w:t>铁路</w:t>
            </w:r>
          </w:p>
        </w:tc>
        <w:tc>
          <w:tcPr>
            <w:tcW w:w="2428"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公路</w:t>
            </w:r>
          </w:p>
        </w:tc>
        <w:tc>
          <w:tcPr>
            <w:tcW w:w="2330" w:type="dxa"/>
            <w:gridSpan w:val="2"/>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水运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Merge w:val="continue"/>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客运量</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936.64</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23.4%</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3048</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76.2%</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15.36</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682"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138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1519</w:t>
            </w:r>
          </w:p>
        </w:tc>
        <w:tc>
          <w:tcPr>
            <w:tcW w:w="10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27%</w:t>
            </w:r>
          </w:p>
        </w:tc>
        <w:tc>
          <w:tcPr>
            <w:tcW w:w="145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3938</w:t>
            </w:r>
          </w:p>
        </w:tc>
        <w:tc>
          <w:tcPr>
            <w:tcW w:w="974"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70%</w:t>
            </w:r>
          </w:p>
        </w:tc>
        <w:tc>
          <w:tcPr>
            <w:tcW w:w="1467"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169</w:t>
            </w:r>
          </w:p>
        </w:tc>
        <w:tc>
          <w:tcPr>
            <w:tcW w:w="863" w:type="dxa"/>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w:t>
            </w:r>
          </w:p>
        </w:tc>
      </w:tr>
    </w:tbl>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表2-11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平阳县各运输方式货运量预测（万吨）</w:t>
      </w:r>
    </w:p>
    <w:tbl>
      <w:tblPr>
        <w:tblStyle w:val="16"/>
        <w:tblW w:w="8901" w:type="dxa"/>
        <w:tblInd w:w="0" w:type="dxa"/>
        <w:tblLayout w:type="fixed"/>
        <w:tblCellMar>
          <w:top w:w="0" w:type="dxa"/>
          <w:left w:w="108" w:type="dxa"/>
          <w:bottom w:w="0" w:type="dxa"/>
          <w:right w:w="108" w:type="dxa"/>
        </w:tblCellMar>
      </w:tblPr>
      <w:tblGrid>
        <w:gridCol w:w="1682"/>
        <w:gridCol w:w="1387"/>
        <w:gridCol w:w="1074"/>
        <w:gridCol w:w="8"/>
        <w:gridCol w:w="1446"/>
        <w:gridCol w:w="974"/>
        <w:gridCol w:w="17"/>
        <w:gridCol w:w="1450"/>
        <w:gridCol w:w="863"/>
      </w:tblGrid>
      <w:tr>
        <w:tblPrEx>
          <w:tblCellMar>
            <w:top w:w="0" w:type="dxa"/>
            <w:left w:w="108" w:type="dxa"/>
            <w:bottom w:w="0" w:type="dxa"/>
            <w:right w:w="108" w:type="dxa"/>
          </w:tblCellMar>
        </w:tblPrEx>
        <w:trPr>
          <w:trHeight w:val="340" w:hRule="atLeast"/>
        </w:trPr>
        <w:tc>
          <w:tcPr>
            <w:tcW w:w="1682" w:type="dxa"/>
            <w:vMerge w:val="restart"/>
            <w:tcBorders>
              <w:top w:val="single" w:color="auto" w:sz="4" w:space="0"/>
              <w:left w:val="single" w:color="auto" w:sz="4" w:space="0"/>
              <w:bottom w:val="single" w:color="000000"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年份</w:t>
            </w:r>
          </w:p>
        </w:tc>
        <w:tc>
          <w:tcPr>
            <w:tcW w:w="2469" w:type="dxa"/>
            <w:gridSpan w:val="3"/>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铁路</w:t>
            </w:r>
          </w:p>
        </w:tc>
        <w:tc>
          <w:tcPr>
            <w:tcW w:w="2437" w:type="dxa"/>
            <w:gridSpan w:val="3"/>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公路</w:t>
            </w:r>
          </w:p>
        </w:tc>
        <w:tc>
          <w:tcPr>
            <w:tcW w:w="2313" w:type="dxa"/>
            <w:gridSpan w:val="2"/>
            <w:tcBorders>
              <w:top w:val="single" w:color="auto" w:sz="4" w:space="0"/>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水运</w:t>
            </w:r>
          </w:p>
        </w:tc>
      </w:tr>
      <w:tr>
        <w:tblPrEx>
          <w:tblCellMar>
            <w:top w:w="0" w:type="dxa"/>
            <w:left w:w="108" w:type="dxa"/>
            <w:bottom w:w="0" w:type="dxa"/>
            <w:right w:w="108" w:type="dxa"/>
          </w:tblCellMar>
        </w:tblPrEx>
        <w:trPr>
          <w:trHeight w:val="340" w:hRule="atLeast"/>
        </w:trPr>
        <w:tc>
          <w:tcPr>
            <w:tcW w:w="1682" w:type="dxa"/>
            <w:vMerge w:val="continue"/>
            <w:tcBorders>
              <w:top w:val="single" w:color="auto" w:sz="4" w:space="0"/>
              <w:left w:val="single" w:color="auto" w:sz="4" w:space="0"/>
              <w:bottom w:val="single" w:color="000000"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货运量</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占比</w:t>
            </w:r>
          </w:p>
        </w:tc>
      </w:tr>
      <w:tr>
        <w:tblPrEx>
          <w:tblCellMar>
            <w:top w:w="0" w:type="dxa"/>
            <w:left w:w="108" w:type="dxa"/>
            <w:bottom w:w="0" w:type="dxa"/>
            <w:right w:w="108" w:type="dxa"/>
          </w:tblCellMar>
        </w:tblPrEx>
        <w:trPr>
          <w:trHeight w:val="340" w:hRule="atLeast"/>
        </w:trPr>
        <w:tc>
          <w:tcPr>
            <w:tcW w:w="168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2018年</w:t>
            </w: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518</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77%</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37.56</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23%</w:t>
            </w:r>
          </w:p>
        </w:tc>
      </w:tr>
      <w:tr>
        <w:tblPrEx>
          <w:tblCellMar>
            <w:top w:w="0" w:type="dxa"/>
            <w:left w:w="108" w:type="dxa"/>
            <w:bottom w:w="0" w:type="dxa"/>
            <w:right w:w="108" w:type="dxa"/>
          </w:tblCellMar>
        </w:tblPrEx>
        <w:trPr>
          <w:trHeight w:val="340" w:hRule="atLeast"/>
        </w:trPr>
        <w:tc>
          <w:tcPr>
            <w:tcW w:w="1682" w:type="dxa"/>
            <w:tcBorders>
              <w:top w:val="nil"/>
              <w:left w:val="single" w:color="auto" w:sz="4" w:space="0"/>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2025年</w:t>
            </w:r>
          </w:p>
        </w:tc>
        <w:tc>
          <w:tcPr>
            <w:tcW w:w="1387"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0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w:t>
            </w:r>
          </w:p>
        </w:tc>
        <w:tc>
          <w:tcPr>
            <w:tcW w:w="1454"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632.18</w:t>
            </w:r>
          </w:p>
        </w:tc>
        <w:tc>
          <w:tcPr>
            <w:tcW w:w="974"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73%</w:t>
            </w:r>
          </w:p>
        </w:tc>
        <w:tc>
          <w:tcPr>
            <w:tcW w:w="1467" w:type="dxa"/>
            <w:gridSpan w:val="2"/>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86.6</w:t>
            </w:r>
          </w:p>
        </w:tc>
        <w:tc>
          <w:tcPr>
            <w:tcW w:w="863" w:type="dxa"/>
            <w:tcBorders>
              <w:top w:val="nil"/>
              <w:left w:val="nil"/>
              <w:bottom w:val="single" w:color="auto" w:sz="4" w:space="0"/>
              <w:right w:val="single" w:color="auto" w:sz="4" w:space="0"/>
            </w:tcBorders>
            <w:vAlign w:val="center"/>
          </w:tcPr>
          <w:p>
            <w:pPr>
              <w:pStyle w:val="22"/>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rPr>
                <w:rFonts w:hint="default" w:ascii="Times New Roman" w:hAnsi="Times New Roman" w:cs="Times New Roman"/>
                <w:sz w:val="24"/>
                <w:szCs w:val="22"/>
              </w:rPr>
            </w:pPr>
            <w:r>
              <w:rPr>
                <w:rFonts w:hint="default" w:ascii="Times New Roman" w:hAnsi="Times New Roman" w:cs="Times New Roman"/>
                <w:sz w:val="24"/>
                <w:szCs w:val="22"/>
              </w:rPr>
              <w:t>27%</w:t>
            </w:r>
          </w:p>
        </w:tc>
      </w:tr>
    </w:tbl>
    <w:p>
      <w:pPr>
        <w:rPr>
          <w:rFonts w:hint="default" w:ascii="Times New Roman" w:hAnsi="Times New Roman" w:cs="Times New Roman"/>
          <w:szCs w:val="28"/>
        </w:rPr>
      </w:pPr>
      <w:bookmarkStart w:id="24" w:name="_Toc38641000"/>
      <w:bookmarkStart w:id="25" w:name="_Toc102660572"/>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eastAsia="zh-CN"/>
        </w:rPr>
        <w:t>三、</w:t>
      </w:r>
      <w:r>
        <w:rPr>
          <w:rFonts w:hint="default" w:ascii="Times New Roman" w:hAnsi="Times New Roman" w:cs="Times New Roman"/>
          <w:b w:val="0"/>
          <w:bCs w:val="0"/>
          <w:sz w:val="32"/>
          <w:szCs w:val="32"/>
        </w:rPr>
        <w:t>发展思路</w:t>
      </w:r>
      <w:bookmarkEnd w:id="24"/>
      <w:bookmarkEnd w:id="25"/>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26" w:name="_Toc102660573"/>
      <w:bookmarkStart w:id="27" w:name="_Toc35595514"/>
      <w:bookmarkStart w:id="28" w:name="_Toc38641001"/>
      <w:r>
        <w:rPr>
          <w:rFonts w:hint="default" w:ascii="Times New Roman" w:hAnsi="Times New Roman" w:eastAsia="楷体_GB2312" w:cs="Times New Roman"/>
          <w:b w:val="0"/>
          <w:bCs w:val="0"/>
          <w:kern w:val="2"/>
          <w:sz w:val="32"/>
          <w:szCs w:val="32"/>
          <w:lang w:val="en-US" w:eastAsia="zh-CN" w:bidi="ar-SA"/>
        </w:rPr>
        <w:t>（一）指导思想</w:t>
      </w:r>
      <w:bookmarkEnd w:id="26"/>
      <w:bookmarkEnd w:id="27"/>
      <w:bookmarkEnd w:id="28"/>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以习近平新时代中国特色社会主义思想为指导，全面贯彻党的十九大精神和浙江省第十四次党代会、二次全会总体部署，秉承创新、协调、绿色、开放、共享发展新理念，发挥“重要窗口”的先行官作用。以强化枢纽地位为导向，加快构建多层次综合立体交通网络，全面提升枢纽辐射能级，着力打造便捷高效运输服务系统，积极推动交通运输转型升级，加快形成安全、便捷、高效、绿色、经济的现代化高质量交通运输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29" w:name="_Toc38641002"/>
      <w:bookmarkStart w:id="30" w:name="_Toc35595515"/>
      <w:bookmarkStart w:id="31" w:name="_Toc102660574"/>
      <w:r>
        <w:rPr>
          <w:rFonts w:hint="default" w:ascii="Times New Roman" w:hAnsi="Times New Roman" w:eastAsia="楷体_GB2312" w:cs="Times New Roman"/>
          <w:b w:val="0"/>
          <w:bCs w:val="0"/>
          <w:kern w:val="2"/>
          <w:sz w:val="32"/>
          <w:szCs w:val="32"/>
          <w:lang w:val="en-US" w:eastAsia="zh-CN" w:bidi="ar-SA"/>
        </w:rPr>
        <w:t>（二）基本原则</w:t>
      </w:r>
      <w:bookmarkEnd w:id="29"/>
      <w:bookmarkEnd w:id="30"/>
      <w:bookmarkEnd w:id="31"/>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2" w:name="_Toc35595516"/>
      <w:bookmarkStart w:id="33" w:name="_Toc29469"/>
      <w:bookmarkStart w:id="34" w:name="_Toc29797200"/>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规划引领，服务大局</w:t>
      </w:r>
      <w:bookmarkEnd w:id="32"/>
      <w:bookmarkEnd w:id="33"/>
      <w:bookmarkEnd w:id="34"/>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准确把握长三角一体化等重大国家战略，瞄准“两个高水平”奋斗目标，对标交通强国建设示范区、更高质量发展先行区和人民满意交通样板区“三区”建设。加强重要区块互联互通水平，充分发挥综合交通运输对战略支撑、主体功能发挥、经济社会发展的引领作用。</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5" w:name="_Toc29797201"/>
      <w:bookmarkStart w:id="36" w:name="_Toc1895"/>
      <w:bookmarkStart w:id="37" w:name="_Toc35595517"/>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适度超前，科学布局</w:t>
      </w:r>
      <w:bookmarkEnd w:id="35"/>
      <w:bookmarkEnd w:id="36"/>
      <w:bookmarkEnd w:id="37"/>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按照交通强国和高质量发展要求，适度超前规划平阳县“十四五”综合交通运输体系，根据平阳县交通需求和社会发展实际，提升综合交通运输服务能力。</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38" w:name="_Toc35595518"/>
      <w:bookmarkStart w:id="39" w:name="_Toc4084"/>
      <w:bookmarkStart w:id="40" w:name="_Toc29797202"/>
      <w:r>
        <w:rPr>
          <w:rFonts w:hint="default" w:ascii="Times New Roman" w:hAnsi="Times New Roman" w:eastAsia="仿宋_GB2312" w:cs="Times New Roman"/>
          <w:b/>
          <w:bCs/>
          <w:kern w:val="2"/>
          <w:sz w:val="32"/>
          <w:szCs w:val="32"/>
          <w:lang w:val="en-US" w:eastAsia="zh-CN" w:bidi="ar-SA"/>
        </w:rPr>
        <w:t>3</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高效衔接，</w:t>
      </w:r>
      <w:bookmarkEnd w:id="38"/>
      <w:bookmarkEnd w:id="39"/>
      <w:bookmarkEnd w:id="40"/>
      <w:r>
        <w:rPr>
          <w:rFonts w:hint="default" w:ascii="Times New Roman" w:hAnsi="Times New Roman" w:eastAsia="仿宋_GB2312" w:cs="Times New Roman"/>
          <w:b/>
          <w:bCs/>
          <w:kern w:val="2"/>
          <w:sz w:val="32"/>
          <w:szCs w:val="32"/>
          <w:lang w:val="en-US" w:eastAsia="zh-CN" w:bidi="ar-SA"/>
        </w:rPr>
        <w:t xml:space="preserve">协调发展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与国土空间规划充分衔接，确保综合交通建设与土地利用、生态保护等相协调；各运输方式协调组合，加快建立联通内外、交织成网、协调高效的综合交通运输体系。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41" w:name="_Toc35595519"/>
      <w:bookmarkStart w:id="42" w:name="_Toc29797203"/>
      <w:bookmarkStart w:id="43" w:name="_Toc27329"/>
      <w:r>
        <w:rPr>
          <w:rFonts w:hint="default" w:ascii="Times New Roman" w:hAnsi="Times New Roman" w:eastAsia="仿宋_GB2312" w:cs="Times New Roman"/>
          <w:b/>
          <w:bCs/>
          <w:kern w:val="2"/>
          <w:sz w:val="32"/>
          <w:szCs w:val="32"/>
          <w:lang w:val="en-US" w:eastAsia="zh-CN" w:bidi="ar-SA"/>
        </w:rPr>
        <w:t>4</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智慧互联，绿色集约</w:t>
      </w:r>
      <w:bookmarkEnd w:id="41"/>
      <w:bookmarkEnd w:id="42"/>
      <w:bookmarkEnd w:id="43"/>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发挥数字经济优势，建设泛在互联的智慧高速。加强研究深度，合理综合利用交通通道资源，考虑资源环境承载能力，实现要素使用效率最大化。</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44" w:name="_Toc102660575"/>
      <w:r>
        <w:rPr>
          <w:rFonts w:hint="default" w:ascii="Times New Roman" w:hAnsi="Times New Roman" w:eastAsia="楷体_GB2312" w:cs="Times New Roman"/>
          <w:b w:val="0"/>
          <w:bCs w:val="0"/>
          <w:kern w:val="2"/>
          <w:sz w:val="32"/>
          <w:szCs w:val="32"/>
          <w:lang w:val="en-US" w:eastAsia="zh-CN" w:bidi="ar-SA"/>
        </w:rPr>
        <w:t>（三）发展目标</w:t>
      </w:r>
      <w:bookmarkEnd w:id="44"/>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45" w:name="_Toc38641004"/>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总体目标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规划到2025年将平阳县打造成为</w:t>
      </w:r>
      <w:r>
        <w:rPr>
          <w:rFonts w:hint="default" w:ascii="Times New Roman" w:hAnsi="Times New Roman" w:cs="Times New Roman"/>
          <w:b/>
          <w:bCs/>
          <w:i/>
          <w:iCs/>
          <w:sz w:val="32"/>
          <w:szCs w:val="32"/>
          <w:u w:val="single"/>
        </w:rPr>
        <w:t>“温州南部交通枢纽中心”</w:t>
      </w:r>
      <w:r>
        <w:rPr>
          <w:rFonts w:hint="default" w:ascii="Times New Roman" w:hAnsi="Times New Roman" w:cs="Times New Roman"/>
          <w:sz w:val="32"/>
          <w:szCs w:val="32"/>
        </w:rPr>
        <w:t>总目标。结合平阳交通发展现状，提出平阳</w:t>
      </w:r>
      <w:r>
        <w:rPr>
          <w:rFonts w:hint="default" w:ascii="Times New Roman" w:hAnsi="Times New Roman" w:cs="Times New Roman"/>
          <w:b/>
          <w:bCs/>
          <w:sz w:val="32"/>
          <w:szCs w:val="32"/>
        </w:rPr>
        <w:t>综合交通运输发展“十四五”规划“123356”目标：</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“1”---围绕“打造温州南部交通枢纽中心”一个总目标</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“2”---建设总投资二百亿元交通建设项目 </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“3”---打造“两轴一带”的3大交通大通道</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“3”---构筑“15-30-60”三大交通时空圈层</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“5”---谋划总投资五百亿的综合交通建设项目</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“6”---完成交通布局、高效客运、整合货运、创新智慧、绿色安全、行业管理六大重点任务</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具体目标</w:t>
      </w:r>
      <w:bookmarkEnd w:id="45"/>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综合考虑“十四五”省级市级交通发展重点合指标，结合平阳县实际交通实际情况，确定具体指标：</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立体交通网络基本形成。北融市区、南连苍南、西引文泰，完善对外通道布局，加快区域交通干线的建设，加密、升级市域交通网络，加快国省道“瓶颈路”、“拥堵路”段的改扩建，充分利用现有农村路网基础</w:t>
      </w:r>
      <w:r>
        <w:rPr>
          <w:rFonts w:hint="eastAsia" w:cs="Times New Roman"/>
          <w:sz w:val="32"/>
          <w:szCs w:val="32"/>
          <w:lang w:val="en-US" w:eastAsia="zh-CN"/>
        </w:rPr>
        <w:t>设</w:t>
      </w:r>
      <w:r>
        <w:rPr>
          <w:rFonts w:hint="default" w:ascii="Times New Roman" w:hAnsi="Times New Roman" w:cs="Times New Roman"/>
          <w:sz w:val="32"/>
          <w:szCs w:val="32"/>
        </w:rPr>
        <w:t>施提升改造，其中高速公路达到90公里，二级以上公路里程达到300公里，力争实现人口在100人以上的自然村通等级公路。</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——枢纽辐射能级大幅提升。锚固温州南部交通枢纽中心定位，到2025年，</w:t>
      </w:r>
      <w:r>
        <w:rPr>
          <w:rFonts w:hint="default" w:ascii="Times New Roman" w:hAnsi="Times New Roman" w:cs="Times New Roman"/>
          <w:b/>
          <w:bCs/>
          <w:sz w:val="32"/>
          <w:szCs w:val="32"/>
        </w:rPr>
        <w:t>基本构筑“15-30-60”交通时空圈：15分钟主要乡镇，工业区、景区上高速或国省道；30分钟主要镇区、景区到高铁站，主要镇区到中心城区；60分钟中心城区至温州城市群及浙中城市群主要县市区</w:t>
      </w:r>
      <w:r>
        <w:rPr>
          <w:rFonts w:hint="default" w:ascii="Times New Roman" w:hAnsi="Times New Roman" w:cs="Times New Roman"/>
          <w:sz w:val="32"/>
          <w:szCs w:val="32"/>
        </w:rPr>
        <w:t xml:space="preserve">。整合交通运输资源，重点打造平阳东站综合客运枢纽；大力推进港口资源整合，积极推动平阳水运复兴。 </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公共出行服务快速便捷。出行品质全面提升，高速公路10万人以上城镇通达率达100%，建制村通双车道公路比例达70%，三级以上公路乡镇覆盖率达90%。构建便捷高效的综合客运体系，实现城乡客运一体化和交通运输基本公共服务均等化，市域公交一体化全覆盖，城区公交站点300米覆盖率达到85%，城区公交站点500米覆盖率达到100%。</w:t>
      </w:r>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交通系统绿色可持续发展。实现中心城区新能源公交比例达85%、中心城区绿色化出行分担率80%以上、农村公路安防设置全覆盖、道路运输万人死亡率0.5以内、道路运输领域事故亡人数下降30%、港口危险货物重大危险源100%受控、超龄运输船舶淘汰率100%。</w:t>
      </w:r>
    </w:p>
    <w:p>
      <w:pPr>
        <w:pStyle w:val="2"/>
        <w:rPr>
          <w:rFonts w:hint="default" w:ascii="Times New Roman" w:hAnsi="Times New Roman" w:cs="Times New Roman"/>
          <w:sz w:val="32"/>
          <w:szCs w:val="32"/>
        </w:rPr>
      </w:pPr>
    </w:p>
    <w:p>
      <w:pPr>
        <w:pStyle w:val="2"/>
        <w:rPr>
          <w:rFonts w:hint="default" w:ascii="Times New Roman" w:hAnsi="Times New Roman" w:cs="Times New Roman"/>
          <w:sz w:val="32"/>
          <w:szCs w:val="32"/>
        </w:rPr>
      </w:pP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表3-1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平阳县“十四五”交通发展重点指标</w:t>
      </w:r>
    </w:p>
    <w:tbl>
      <w:tblPr>
        <w:tblStyle w:val="16"/>
        <w:tblW w:w="89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751"/>
        <w:gridCol w:w="2842"/>
        <w:gridCol w:w="941"/>
        <w:gridCol w:w="1131"/>
        <w:gridCol w:w="1080"/>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指标理念</w:t>
            </w:r>
          </w:p>
        </w:tc>
        <w:tc>
          <w:tcPr>
            <w:tcW w:w="75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一级指标</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二级指标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计量</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单位</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（现状）2019年</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2025年</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目标</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便捷开放</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线网规模</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公路总里程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公里</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1649</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2200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二级以上公路里程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公里</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157</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一级及以上公路占比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区域可达</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至温州中心城区</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分钟</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45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至金义都市圈、杭州都市圈、宁波都市圈、福州都市圈</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小时</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至长三角、海西城市核心区</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小时</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2.5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通达高效</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通达覆盖</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高速公路10万人以上城镇通达率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普通国省道二级及以上公路占比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建制村通双车道公路比例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70%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三级以上公路乡镇覆盖率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城乡衔接</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县域内中心镇15分钟上高速/国道比例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30%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县域内中心镇到达30分钟到达县中心区域比例</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40%</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90%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城乡物流节点镇级覆盖率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建制村快递物流网点覆盖率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绿色品质</w:t>
            </w:r>
          </w:p>
        </w:tc>
        <w:tc>
          <w:tcPr>
            <w:tcW w:w="751" w:type="dxa"/>
            <w:vMerge w:val="restart"/>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便捷出行</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城区公交站点300米覆盖率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2"/>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firstLine="422"/>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城区公交站点500米覆盖率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中心城区营运新能源公交车占比</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55%</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中心城区绿色化出行分担率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80%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75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绿色码头设施</w:t>
            </w:r>
          </w:p>
        </w:tc>
        <w:tc>
          <w:tcPr>
            <w:tcW w:w="28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五类专业化码头岸电设施覆盖率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未统计</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restart"/>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r>
              <w:rPr>
                <w:rFonts w:hint="default" w:ascii="Times New Roman" w:hAnsi="Times New Roman" w:eastAsia="仿宋_GB2312" w:cs="Times New Roman"/>
                <w:b/>
                <w:bCs/>
                <w:kern w:val="0"/>
                <w:sz w:val="21"/>
                <w:szCs w:val="21"/>
              </w:rPr>
              <w:t>安全友好</w:t>
            </w:r>
          </w:p>
        </w:tc>
        <w:tc>
          <w:tcPr>
            <w:tcW w:w="3593" w:type="dxa"/>
            <w:gridSpan w:val="2"/>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道路交通万人死亡率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人/年</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0.6</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&lt;0.5</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060" w:type="dxa"/>
            <w:vMerge w:val="continue"/>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b/>
                <w:bCs/>
                <w:kern w:val="0"/>
                <w:sz w:val="21"/>
                <w:szCs w:val="21"/>
              </w:rPr>
            </w:pPr>
          </w:p>
        </w:tc>
        <w:tc>
          <w:tcPr>
            <w:tcW w:w="3593" w:type="dxa"/>
            <w:gridSpan w:val="2"/>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重点营运车辆联网上线率</w:t>
            </w:r>
          </w:p>
        </w:tc>
        <w:tc>
          <w:tcPr>
            <w:tcW w:w="94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131"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w:t>
            </w:r>
          </w:p>
        </w:tc>
        <w:tc>
          <w:tcPr>
            <w:tcW w:w="1080"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100</w:t>
            </w:r>
          </w:p>
        </w:tc>
        <w:tc>
          <w:tcPr>
            <w:tcW w:w="1142" w:type="dxa"/>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1"/>
                <w:szCs w:val="21"/>
              </w:rPr>
            </w:pPr>
            <w:r>
              <w:rPr>
                <w:rFonts w:hint="default" w:ascii="Times New Roman" w:hAnsi="Times New Roman" w:eastAsia="仿宋_GB2312" w:cs="Times New Roman"/>
                <w:kern w:val="0"/>
                <w:sz w:val="21"/>
                <w:szCs w:val="21"/>
              </w:rPr>
              <w:t>约束性</w:t>
            </w:r>
          </w:p>
        </w:tc>
      </w:tr>
    </w:tbl>
    <w:p>
      <w:pPr>
        <w:rPr>
          <w:rFonts w:hint="default" w:ascii="Times New Roman" w:hAnsi="Times New Roman" w:cs="Times New Roman"/>
          <w:szCs w:val="28"/>
        </w:rPr>
      </w:pPr>
      <w:r>
        <w:rPr>
          <w:rFonts w:hint="default" w:ascii="Times New Roman" w:hAnsi="Times New Roman" w:cs="Times New Roman"/>
          <w:szCs w:val="28"/>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rPr>
      </w:pPr>
      <w:bookmarkStart w:id="46" w:name="_Toc102660576"/>
      <w:bookmarkStart w:id="47" w:name="_Toc38641005"/>
      <w:r>
        <w:rPr>
          <w:rFonts w:hint="default" w:ascii="Times New Roman" w:hAnsi="Times New Roman" w:cs="Times New Roman"/>
          <w:b w:val="0"/>
          <w:bCs w:val="0"/>
          <w:sz w:val="32"/>
          <w:szCs w:val="32"/>
          <w:lang w:eastAsia="zh-CN"/>
        </w:rPr>
        <w:t>四、</w:t>
      </w:r>
      <w:r>
        <w:rPr>
          <w:rFonts w:hint="default" w:ascii="Times New Roman" w:hAnsi="Times New Roman" w:cs="Times New Roman"/>
          <w:b w:val="0"/>
          <w:bCs w:val="0"/>
          <w:sz w:val="32"/>
          <w:szCs w:val="32"/>
        </w:rPr>
        <w:t>综合交通布局方案</w:t>
      </w:r>
      <w:bookmarkEnd w:id="46"/>
      <w:bookmarkEnd w:id="47"/>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48" w:name="_Toc35595522"/>
      <w:bookmarkStart w:id="49" w:name="_Toc102660577"/>
      <w:bookmarkStart w:id="50" w:name="_Toc38641006"/>
      <w:r>
        <w:rPr>
          <w:rFonts w:hint="default" w:ascii="Times New Roman" w:hAnsi="Times New Roman" w:eastAsia="楷体_GB2312" w:cs="Times New Roman"/>
          <w:b w:val="0"/>
          <w:bCs w:val="0"/>
          <w:kern w:val="2"/>
          <w:sz w:val="32"/>
          <w:szCs w:val="32"/>
          <w:lang w:val="en-US" w:eastAsia="zh-CN" w:bidi="ar-SA"/>
        </w:rPr>
        <w:t>（一）布局原则</w:t>
      </w:r>
      <w:bookmarkEnd w:id="48"/>
      <w:bookmarkEnd w:id="49"/>
      <w:bookmarkEnd w:id="50"/>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坚持着眼全局、内外衔接。</w:t>
      </w:r>
      <w:r>
        <w:rPr>
          <w:rFonts w:hint="default" w:ascii="Times New Roman" w:hAnsi="Times New Roman" w:cs="Times New Roman"/>
          <w:sz w:val="32"/>
          <w:szCs w:val="32"/>
        </w:rPr>
        <w:t>全面对接“一带一路”、长三角高质量一体化发展等国家战略，统筹衔接省内“六纵六横”通道布局和温州都市区综合交通体系，全方位、多角度服务国家开放大局和浙江省、温州都市区经济社会发展全局，提升辐射带动周边区域发展的能力，充分发挥交通运输的基础性、先导性、战略性作用。</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坚持统筹规划、共建共享。</w:t>
      </w:r>
      <w:r>
        <w:rPr>
          <w:rFonts w:hint="default" w:ascii="Times New Roman" w:hAnsi="Times New Roman" w:cs="Times New Roman"/>
          <w:sz w:val="32"/>
          <w:szCs w:val="32"/>
        </w:rPr>
        <w:t>树立大交通发展理念和全域交通“一盘棋”思想，打破区域间、部门间和不同交通方式间的藩篱，推进县域各方式交通运输资源统筹规划、整体布局，以县域轨道、快速公路网等一体化快速交通网络规划建设，引领温州南部副中心一体化发展，推动平阳高质量融入长三角城市群、对接海西经济区。</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坚持服务民生、公平普惠。</w:t>
      </w:r>
      <w:r>
        <w:rPr>
          <w:rFonts w:hint="default" w:ascii="Times New Roman" w:hAnsi="Times New Roman" w:cs="Times New Roman"/>
          <w:sz w:val="32"/>
          <w:szCs w:val="32"/>
        </w:rPr>
        <w:t>以建成人民满意交通为统领，坚持以人民为中心的发展思想，推进城乡交通基本公共服务均等化，着力提升运输服务效率和服务品质，增强人民幸福感、获得感、安全感，实现“人享其行、物优其流”。</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51" w:name="_Toc102660578"/>
      <w:bookmarkStart w:id="52" w:name="_Toc38641007"/>
      <w:bookmarkStart w:id="53" w:name="_Toc35595523"/>
      <w:r>
        <w:rPr>
          <w:rFonts w:hint="default" w:ascii="Times New Roman" w:hAnsi="Times New Roman" w:eastAsia="楷体_GB2312" w:cs="Times New Roman"/>
          <w:b w:val="0"/>
          <w:bCs w:val="0"/>
          <w:kern w:val="2"/>
          <w:sz w:val="32"/>
          <w:szCs w:val="32"/>
          <w:lang w:val="en-US" w:eastAsia="zh-CN" w:bidi="ar-SA"/>
        </w:rPr>
        <w:t>（二）布局思路</w:t>
      </w:r>
      <w:bookmarkEnd w:id="51"/>
      <w:bookmarkEnd w:id="52"/>
      <w:bookmarkEnd w:id="53"/>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w:t>
      </w:r>
      <w:r>
        <w:rPr>
          <w:rFonts w:hint="default" w:ascii="Times New Roman" w:hAnsi="Times New Roman" w:cs="Times New Roman"/>
          <w:b/>
          <w:bCs/>
          <w:sz w:val="32"/>
          <w:szCs w:val="32"/>
        </w:rPr>
        <w:t>“圈层发散、轴带辐射、枢纽强化”</w:t>
      </w:r>
      <w:r>
        <w:rPr>
          <w:rFonts w:hint="default" w:ascii="Times New Roman" w:hAnsi="Times New Roman" w:cs="Times New Roman"/>
          <w:sz w:val="32"/>
          <w:szCs w:val="32"/>
        </w:rPr>
        <w:t>的思路，完善不同运输方式构成的综合立体交通网络布局，全力打造优质发达的对外骨干网、高效完善的一体化快速网、普惠广泛的基础服务网，优化内外交通结构，强化交通运输重要枢纽节点建设构建</w:t>
      </w:r>
      <w:r>
        <w:rPr>
          <w:rFonts w:hint="default" w:ascii="Times New Roman" w:hAnsi="Times New Roman" w:cs="Times New Roman"/>
          <w:b/>
          <w:bCs/>
          <w:sz w:val="32"/>
          <w:szCs w:val="32"/>
        </w:rPr>
        <w:t>“对外交通快速化、对内交通便捷化、综合枢纽一体化”</w:t>
      </w:r>
      <w:r>
        <w:rPr>
          <w:rFonts w:hint="default" w:ascii="Times New Roman" w:hAnsi="Times New Roman" w:cs="Times New Roman"/>
          <w:sz w:val="32"/>
          <w:szCs w:val="32"/>
        </w:rPr>
        <w:t>的综合交通体系。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54" w:name="_Toc38641008"/>
      <w:bookmarkStart w:id="55" w:name="_Toc102660579"/>
      <w:bookmarkStart w:id="56" w:name="_Toc35595524"/>
      <w:r>
        <w:rPr>
          <w:rFonts w:hint="default" w:ascii="Times New Roman" w:hAnsi="Times New Roman" w:eastAsia="楷体_GB2312" w:cs="Times New Roman"/>
          <w:b w:val="0"/>
          <w:bCs w:val="0"/>
          <w:kern w:val="2"/>
          <w:sz w:val="32"/>
          <w:szCs w:val="32"/>
          <w:lang w:val="en-US" w:eastAsia="zh-CN" w:bidi="ar-SA"/>
        </w:rPr>
        <w:t>（三）布局方案</w:t>
      </w:r>
      <w:bookmarkEnd w:id="54"/>
      <w:bookmarkEnd w:id="55"/>
      <w:bookmarkEnd w:id="56"/>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1</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县域空间结构布局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《平阳县国民经济和社会发展第十四个五年规划和二</w:t>
      </w:r>
      <w:r>
        <w:rPr>
          <w:rFonts w:hint="default" w:ascii="Times New Roman" w:hAnsi="Times New Roman" w:eastAsia="微软雅黑" w:cs="Times New Roman"/>
          <w:sz w:val="32"/>
          <w:szCs w:val="32"/>
        </w:rPr>
        <w:t>〇</w:t>
      </w:r>
      <w:r>
        <w:rPr>
          <w:rFonts w:hint="default" w:ascii="Times New Roman" w:hAnsi="Times New Roman" w:cs="Times New Roman"/>
          <w:sz w:val="32"/>
          <w:szCs w:val="32"/>
        </w:rPr>
        <w:t>三五年远景目标纲要》提出构建“</w:t>
      </w:r>
      <w:r>
        <w:rPr>
          <w:rFonts w:hint="default" w:ascii="Times New Roman" w:hAnsi="Times New Roman" w:cs="Times New Roman"/>
          <w:b/>
          <w:bCs/>
          <w:sz w:val="32"/>
          <w:szCs w:val="32"/>
        </w:rPr>
        <w:t>一主一副一带三区</w:t>
      </w:r>
      <w:r>
        <w:rPr>
          <w:rFonts w:hint="default" w:ascii="Times New Roman" w:hAnsi="Times New Roman" w:cs="Times New Roman"/>
          <w:sz w:val="32"/>
          <w:szCs w:val="32"/>
        </w:rPr>
        <w:t>”的城市空间格局，提升发展南部副中心，加快建设由平阳、苍南、龙港组成的都市区南部副中心，大力推进鳌江流域协同发展。</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“一主一副”</w:t>
      </w:r>
      <w:r>
        <w:rPr>
          <w:rFonts w:hint="default" w:ascii="Times New Roman" w:hAnsi="Times New Roman" w:cs="Times New Roman"/>
          <w:sz w:val="32"/>
          <w:szCs w:val="32"/>
        </w:rPr>
        <w:t>：即昆鳌主中心与水头副中心。“一带”即沿江城市发展带。加快建设</w:t>
      </w:r>
      <w:r>
        <w:rPr>
          <w:rFonts w:hint="default" w:ascii="Times New Roman" w:hAnsi="Times New Roman" w:cs="Times New Roman"/>
          <w:b/>
          <w:bCs/>
          <w:sz w:val="32"/>
          <w:szCs w:val="32"/>
        </w:rPr>
        <w:t>“一主一副”</w:t>
      </w:r>
      <w:r>
        <w:rPr>
          <w:rFonts w:hint="default" w:ascii="Times New Roman" w:hAnsi="Times New Roman" w:cs="Times New Roman"/>
          <w:sz w:val="32"/>
          <w:szCs w:val="32"/>
        </w:rPr>
        <w:t>。昆鳌主中心要加快昆阳城东新区、鳌江滨江商务区等重点区块建设，构建快速交通网络，推进万全、海西等城镇协同发展。水头副中心要加快北港新城建设，完善内外交通网络和公共服务功能，强化对周边乡镇的辐射带动作用。</w:t>
      </w:r>
    </w:p>
    <w:p>
      <w:pPr>
        <w:keepNext w:val="0"/>
        <w:keepLines w:val="0"/>
        <w:pageBreakBefore w:val="0"/>
        <w:widowControl w:val="0"/>
        <w:kinsoku/>
        <w:wordWrap/>
        <w:overflowPunct/>
        <w:topLinePunct w:val="0"/>
        <w:autoSpaceDE/>
        <w:autoSpaceDN/>
        <w:bidi w:val="0"/>
        <w:adjustRightInd/>
        <w:snapToGrid w:val="0"/>
        <w:spacing w:before="313" w:beforeLines="10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92090" cy="2988310"/>
            <wp:effectExtent l="0" t="0" r="3810" b="2540"/>
            <wp:docPr id="47" name="图片 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true"/>
                    </pic:cNvPicPr>
                  </pic:nvPicPr>
                  <pic:blipFill>
                    <a:blip r:embed="rId14"/>
                    <a:stretch>
                      <a:fillRect/>
                    </a:stretch>
                  </pic:blipFill>
                  <pic:spPr>
                    <a:xfrm>
                      <a:off x="0" y="0"/>
                      <a:ext cx="5292090" cy="298831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图4-1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平阳“三轴”城市空间布局</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“三区”</w:t>
      </w:r>
      <w:r>
        <w:rPr>
          <w:rFonts w:hint="default" w:ascii="Times New Roman" w:hAnsi="Times New Roman" w:cs="Times New Roman"/>
          <w:sz w:val="32"/>
          <w:szCs w:val="32"/>
        </w:rPr>
        <w:t>：“三区”即滨海城市发展区、绿色经济发展区、蓝色经济发展区。</w:t>
      </w:r>
      <w:r>
        <w:rPr>
          <w:rFonts w:hint="default" w:ascii="Times New Roman" w:hAnsi="Times New Roman" w:cs="Times New Roman"/>
          <w:b/>
          <w:bCs/>
          <w:sz w:val="32"/>
          <w:szCs w:val="32"/>
        </w:rPr>
        <w:t>滨海城市发展区</w:t>
      </w:r>
      <w:r>
        <w:rPr>
          <w:rFonts w:hint="default" w:ascii="Times New Roman" w:hAnsi="Times New Roman" w:cs="Times New Roman"/>
          <w:sz w:val="32"/>
          <w:szCs w:val="32"/>
        </w:rPr>
        <w:t>，以昆鳌一体化为核心，向东向北联动海西、万全，拓展产业平台发展空间，创建省级高新技术园区，重点发展战略性新兴产业。</w:t>
      </w:r>
      <w:r>
        <w:rPr>
          <w:rFonts w:hint="default" w:ascii="Times New Roman" w:hAnsi="Times New Roman" w:cs="Times New Roman"/>
          <w:b/>
          <w:bCs/>
          <w:sz w:val="32"/>
          <w:szCs w:val="32"/>
        </w:rPr>
        <w:t>绿色经济发展区</w:t>
      </w:r>
      <w:r>
        <w:rPr>
          <w:rFonts w:hint="default" w:ascii="Times New Roman" w:hAnsi="Times New Roman" w:cs="Times New Roman"/>
          <w:sz w:val="32"/>
          <w:szCs w:val="32"/>
        </w:rPr>
        <w:t>，结合西部生态休闲产业带建设和美丽乡村建设，以水头镇为核心强化西部乡镇协同发展，有效串联整合绿色生态、红色文化、畲乡民俗、特色农业等资源，大力发展生态休闲产业。</w:t>
      </w:r>
      <w:r>
        <w:rPr>
          <w:rFonts w:hint="default" w:ascii="Times New Roman" w:hAnsi="Times New Roman" w:cs="Times New Roman"/>
          <w:b/>
          <w:bCs/>
          <w:sz w:val="32"/>
          <w:szCs w:val="32"/>
        </w:rPr>
        <w:t>蓝色经济发展区，</w:t>
      </w:r>
      <w:r>
        <w:rPr>
          <w:rFonts w:hint="default" w:ascii="Times New Roman" w:hAnsi="Times New Roman" w:cs="Times New Roman"/>
          <w:sz w:val="32"/>
          <w:szCs w:val="32"/>
        </w:rPr>
        <w:t>围绕西湾生态海岸带建设、南麂岛保护与开发，大力发展海洋旅游、现代渔业、海洋能源等海洋新兴产业。</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810125" cy="2838450"/>
            <wp:effectExtent l="0" t="0" r="9525" b="0"/>
            <wp:docPr id="48" name="图片 4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true"/>
                    </pic:cNvPicPr>
                  </pic:nvPicPr>
                  <pic:blipFill>
                    <a:blip r:embed="rId15"/>
                    <a:stretch>
                      <a:fillRect/>
                    </a:stretch>
                  </pic:blipFill>
                  <pic:spPr>
                    <a:xfrm>
                      <a:off x="0" y="0"/>
                      <a:ext cx="4810125" cy="283845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图4-2</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平阳县“三区”规划布局</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7" w:name="_Toc35595525"/>
      <w:r>
        <w:rPr>
          <w:rFonts w:hint="default" w:ascii="Times New Roman" w:hAnsi="Times New Roman" w:eastAsia="仿宋_GB2312" w:cs="Times New Roman"/>
          <w:b/>
          <w:bCs/>
          <w:kern w:val="2"/>
          <w:sz w:val="32"/>
          <w:szCs w:val="32"/>
          <w:lang w:val="en-US" w:eastAsia="zh-CN" w:bidi="ar-SA"/>
        </w:rPr>
        <w:t>2</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综合交通通道布局</w:t>
      </w:r>
      <w:bookmarkEnd w:id="57"/>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根据平阳县公路、铁路、水运、航空、管道等运输方式的布局规划，结合平阳在国家、长三角区域以及浙江省的交通区位分析，以北融市区、南连苍南、西引文泰为主要方向，紧扣“一主一副三区”的发展主题，规划平阳形成“两轴一带</w:t>
      </w:r>
      <w:r>
        <w:rPr>
          <w:rFonts w:hint="default" w:ascii="Times New Roman" w:hAnsi="Times New Roman" w:cs="Times New Roman"/>
          <w:b/>
          <w:sz w:val="32"/>
          <w:szCs w:val="32"/>
        </w:rPr>
        <w:t>”</w:t>
      </w:r>
      <w:r>
        <w:rPr>
          <w:rFonts w:hint="default" w:ascii="Times New Roman" w:hAnsi="Times New Roman" w:cs="Times New Roman"/>
          <w:sz w:val="32"/>
          <w:szCs w:val="32"/>
        </w:rPr>
        <w:t>的综合交通通道布局。</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95900" cy="3514725"/>
            <wp:effectExtent l="0" t="0" r="0" b="9525"/>
            <wp:docPr id="49" name="图片 4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true"/>
                    </pic:cNvPicPr>
                  </pic:nvPicPr>
                  <pic:blipFill>
                    <a:blip r:embed="rId16"/>
                    <a:srcRect l="844" t="14949" r="18401" b="8250"/>
                    <a:stretch>
                      <a:fillRect/>
                    </a:stretch>
                  </pic:blipFill>
                  <pic:spPr>
                    <a:xfrm>
                      <a:off x="0" y="0"/>
                      <a:ext cx="5295900" cy="35147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napToGrid/>
        <w:spacing w:after="235" w:afterLines="75"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图4-3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平阳综合交通通道布局图</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纵轴区域协同轴：</w:t>
      </w:r>
      <w:r>
        <w:rPr>
          <w:rFonts w:hint="default" w:ascii="Times New Roman" w:hAnsi="Times New Roman" w:cs="Times New Roman"/>
          <w:sz w:val="32"/>
          <w:szCs w:val="32"/>
        </w:rPr>
        <w:t>平阳北接温瑞平原，融入温州都市区，南接龙港、苍南，接轨海西经济区的重要通道，是平阳门户性经济发展轴带，总GDP占全县的76%，覆盖人口占全县总人口的50%，是实现高质量打造温州南部枢纽中心的关键支撑。通道主要由甬台温铁路、甬台温高速、甬台温复线、G104国道、万鳌公路等组成。</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横轴山海联动轴：</w:t>
      </w:r>
      <w:r>
        <w:rPr>
          <w:rFonts w:hint="default" w:ascii="Times New Roman" w:hAnsi="Times New Roman" w:cs="Times New Roman"/>
          <w:sz w:val="32"/>
          <w:szCs w:val="32"/>
        </w:rPr>
        <w:t>贯穿平阳东、中、西部三大城镇群，是沟通县域东西地区平衡发展的重要发展轴，也是联系平阳港与内陆腹地的重要通道，同时也能够有效加强平阳与浙西地区的联系，提升平阳县西部乡镇对外交通的便捷程度。通道主要由规划合温高速南延、昆水公路、昆宋公路等组成。</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一带沿江城市发展带：</w:t>
      </w:r>
      <w:r>
        <w:rPr>
          <w:rFonts w:hint="default" w:ascii="Times New Roman" w:hAnsi="Times New Roman" w:cs="Times New Roman"/>
          <w:sz w:val="32"/>
          <w:szCs w:val="32"/>
        </w:rPr>
        <w:t>推进鳌江、萧江、麻步、水头等鳌江流域城镇拥江发展，引导现代服务业集中集聚，打造具有瓯南特色的鳌江北岸景观风貌带，实现城市建设、都市经济、山水生态有机融合。通道内主要有瑞苍高速、S218省道、S219省道、萧江世纪大道等交通道路，串联萧江、水头、腾蛟等乡镇，北联瑞安、南接龙港。</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表4-1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平阳综合交通通道资源分配情况分析</w:t>
      </w:r>
    </w:p>
    <w:tbl>
      <w:tblPr>
        <w:tblStyle w:val="16"/>
        <w:tblW w:w="9073" w:type="dxa"/>
        <w:jc w:val="center"/>
        <w:tblLayout w:type="fixed"/>
        <w:tblCellMar>
          <w:top w:w="0" w:type="dxa"/>
          <w:left w:w="0" w:type="dxa"/>
          <w:bottom w:w="0" w:type="dxa"/>
          <w:right w:w="0" w:type="dxa"/>
        </w:tblCellMar>
      </w:tblPr>
      <w:tblGrid>
        <w:gridCol w:w="710"/>
        <w:gridCol w:w="1325"/>
        <w:gridCol w:w="2633"/>
        <w:gridCol w:w="2279"/>
        <w:gridCol w:w="1246"/>
        <w:gridCol w:w="880"/>
      </w:tblGrid>
      <w:tr>
        <w:tblPrEx>
          <w:tblCellMar>
            <w:top w:w="0" w:type="dxa"/>
            <w:left w:w="0" w:type="dxa"/>
            <w:bottom w:w="0" w:type="dxa"/>
            <w:right w:w="0" w:type="dxa"/>
          </w:tblCellMar>
        </w:tblPrEx>
        <w:trPr>
          <w:trHeight w:val="369" w:hRule="atLeast"/>
          <w:jc w:val="center"/>
        </w:trPr>
        <w:tc>
          <w:tcPr>
            <w:tcW w:w="71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2" w:firstLineChars="0"/>
              <w:jc w:val="center"/>
              <w:textAlignment w:val="auto"/>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24"/>
                <w:sz w:val="24"/>
                <w:szCs w:val="24"/>
              </w:rPr>
              <w:t> </w:t>
            </w:r>
          </w:p>
        </w:tc>
        <w:tc>
          <w:tcPr>
            <w:tcW w:w="1325"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名称</w:t>
            </w:r>
          </w:p>
        </w:tc>
        <w:tc>
          <w:tcPr>
            <w:tcW w:w="2633"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联系方向</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运输干线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建设性质</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等级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纵轴</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区域协同轴</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串联万全、昆阳、鳌江等乡镇，为昆鳌一体化及鳌江流域中心城市建设服务，北联瑞安、南接龙港</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甬台温高速复线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甬台温福高铁</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G228国道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滨海大道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甬台温铁路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甬台温高速</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改建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老G104国道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万全至鳌江公路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车站大道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kern w:val="0"/>
                <w:sz w:val="24"/>
                <w:szCs w:val="24"/>
              </w:rPr>
              <w:t>横轴</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山海联动轴</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沟通文成泰顺至丽水等地，串联水头、鳌江、昆阳、海西等乡镇，强化县域东西部协调发展</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瑞苍高速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（温州南连高速）</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S218安吉至龙港公路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昆水公路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昆宋公路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G104国道西过境</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b/>
                <w:bCs/>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港站城大道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ind w:left="0" w:right="0" w:firstLine="0" w:firstLineChars="0"/>
              <w:jc w:val="center"/>
              <w:rPr>
                <w:rFonts w:hint="default" w:ascii="Times New Roman" w:hAnsi="Times New Roman" w:eastAsia="仿宋_GB2312" w:cs="Times New Roman"/>
                <w:b/>
                <w:bCs/>
                <w:kern w:val="0"/>
                <w:sz w:val="24"/>
                <w:szCs w:val="24"/>
              </w:rPr>
            </w:pPr>
            <w:r>
              <w:rPr>
                <w:rFonts w:hint="default" w:ascii="Times New Roman" w:hAnsi="Times New Roman" w:eastAsia="仿宋_GB2312" w:cs="Times New Roman"/>
                <w:b/>
                <w:bCs/>
                <w:sz w:val="24"/>
                <w:szCs w:val="24"/>
              </w:rPr>
              <w:t>一带</w:t>
            </w:r>
          </w:p>
        </w:tc>
        <w:tc>
          <w:tcPr>
            <w:tcW w:w="1325"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沿江城市发展带</w:t>
            </w:r>
          </w:p>
        </w:tc>
        <w:tc>
          <w:tcPr>
            <w:tcW w:w="2633" w:type="dxa"/>
            <w:vMerge w:val="restart"/>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推进鳌江、萧江、麻步、水头等鳌江流域城镇拥江发展</w:t>
            </w: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合温高速南延</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前期</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高速</w:t>
            </w:r>
          </w:p>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公路</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S219临安至苍南公路</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规划</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老57省道复线</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已建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r>
        <w:tblPrEx>
          <w:tblCellMar>
            <w:top w:w="0" w:type="dxa"/>
            <w:left w:w="0" w:type="dxa"/>
            <w:bottom w:w="0" w:type="dxa"/>
            <w:right w:w="0" w:type="dxa"/>
          </w:tblCellMar>
        </w:tblPrEx>
        <w:trPr>
          <w:trHeight w:val="369" w:hRule="atLeast"/>
          <w:jc w:val="center"/>
        </w:trPr>
        <w:tc>
          <w:tcPr>
            <w:tcW w:w="710"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left"/>
              <w:rPr>
                <w:rFonts w:hint="default" w:ascii="Times New Roman" w:hAnsi="Times New Roman" w:eastAsia="仿宋_GB2312" w:cs="Times New Roman"/>
                <w:kern w:val="0"/>
                <w:sz w:val="24"/>
                <w:szCs w:val="24"/>
              </w:rPr>
            </w:pPr>
          </w:p>
        </w:tc>
        <w:tc>
          <w:tcPr>
            <w:tcW w:w="1325"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633" w:type="dxa"/>
            <w:vMerge w:val="continue"/>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p>
        </w:tc>
        <w:tc>
          <w:tcPr>
            <w:tcW w:w="2279"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萧江至鳌江快速通道</w:t>
            </w:r>
          </w:p>
        </w:tc>
        <w:tc>
          <w:tcPr>
            <w:tcW w:w="1246"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在建</w:t>
            </w:r>
          </w:p>
        </w:tc>
        <w:tc>
          <w:tcPr>
            <w:tcW w:w="880" w:type="dxa"/>
            <w:tcBorders>
              <w:top w:val="single" w:color="000000" w:sz="8" w:space="0"/>
              <w:left w:val="single" w:color="000000" w:sz="8" w:space="0"/>
              <w:bottom w:val="single" w:color="000000" w:sz="8" w:space="0"/>
              <w:right w:val="single" w:color="000000" w:sz="8" w:space="0"/>
            </w:tcBorders>
            <w:tcMar>
              <w:top w:w="15" w:type="dxa"/>
              <w:left w:w="34" w:type="dxa"/>
              <w:bottom w:w="0" w:type="dxa"/>
              <w:right w:w="3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0"/>
                <w:sz w:val="24"/>
                <w:szCs w:val="24"/>
              </w:rPr>
              <w:t>一级</w:t>
            </w:r>
          </w:p>
        </w:tc>
      </w:tr>
    </w:tbl>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8" w:name="_Toc35595526"/>
      <w:r>
        <w:rPr>
          <w:rFonts w:hint="default" w:ascii="Times New Roman" w:hAnsi="Times New Roman" w:eastAsia="仿宋_GB2312" w:cs="Times New Roman"/>
          <w:b/>
          <w:bCs/>
          <w:kern w:val="2"/>
          <w:sz w:val="32"/>
          <w:szCs w:val="32"/>
          <w:lang w:val="en-US" w:eastAsia="zh-CN" w:bidi="ar-SA"/>
        </w:rPr>
        <w:t>3</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综合交通枢纽布局</w:t>
      </w:r>
      <w:bookmarkEnd w:id="58"/>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（1）综合客运枢纽布局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综合客运枢纽是多种运输方式在同一空间（或区域）内集中布设，实现客流转换有机衔接，或一体化客运服务系统完备高效，具备区域辐射功能的客运基础设施。</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综合客运枢纽是锚固多种交通方式的基础，是实现客运零距离换乘和一体化服务的核心，在城市内外交通以及城市内部交通的联系中起着非常关键的作用，功能完善、级配合理、分布有序的综合客运枢纽体系是市域综合交通体系必不可少的支柱。</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“一主、五副、多点”</w:t>
      </w:r>
      <w:r>
        <w:rPr>
          <w:rFonts w:hint="default" w:ascii="Times New Roman" w:hAnsi="Times New Roman" w:cs="Times New Roman"/>
          <w:sz w:val="32"/>
          <w:szCs w:val="32"/>
        </w:rPr>
        <w:t>的综合客运枢纽布局形态：平阳境内无区域枢纽，规划“一主、五副、多点”的综合客运枢纽布局 ，服务城际交通出行及各种交通方式转换。</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“一主”：高铁平阳站；</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“五副”： 温州鳌江流域副中心交通枢纽、万全客运枢纽、昆阳客运枢纽、水头客运枢纽、萧江客运枢纽；</w:t>
      </w:r>
    </w:p>
    <w:p>
      <w:pPr>
        <w:pStyle w:val="20"/>
        <w:keepNext w:val="0"/>
        <w:keepLines w:val="0"/>
        <w:pageBreakBefore w:val="0"/>
        <w:widowControl w:val="0"/>
        <w:numPr>
          <w:ilvl w:val="0"/>
          <w:numId w:val="3"/>
        </w:numPr>
        <w:kinsoku/>
        <w:wordWrap/>
        <w:overflowPunct/>
        <w:topLinePunct w:val="0"/>
        <w:autoSpaceDE/>
        <w:autoSpaceDN/>
        <w:bidi w:val="0"/>
        <w:adjustRightInd/>
        <w:spacing w:line="560" w:lineRule="exact"/>
        <w:ind w:left="0"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“多点”：滨海新区客运站、凤卧客运站、山门客运站、南雁客运站、湖岭客运站等其它乡镇客运站。</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jc w:val="center"/>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表4-2  平阳县综合客运枢纽交通方式衔接</w:t>
      </w:r>
    </w:p>
    <w:tbl>
      <w:tblPr>
        <w:tblStyle w:val="16"/>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2205"/>
        <w:gridCol w:w="4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枢纽名称</w:t>
            </w:r>
          </w:p>
        </w:tc>
        <w:tc>
          <w:tcPr>
            <w:tcW w:w="7073"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衔接交通方式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对外</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b/>
                <w:bCs/>
                <w:kern w:val="24"/>
                <w:sz w:val="24"/>
                <w:szCs w:val="24"/>
              </w:rPr>
              <w:t>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高铁平阳站</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28"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高速铁路、市域轨道、长途客运</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w w:val="85"/>
                <w:kern w:val="24"/>
                <w:sz w:val="24"/>
                <w:szCs w:val="24"/>
              </w:rPr>
              <w:t>社会车、中运量公交、常规公交、出租车、非机动车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16"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sz w:val="24"/>
                <w:szCs w:val="24"/>
              </w:rPr>
              <w:t>温州鳌江流域副中心交通枢纽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24"/>
                <w:sz w:val="24"/>
                <w:szCs w:val="24"/>
              </w:rPr>
            </w:pPr>
            <w:r>
              <w:rPr>
                <w:rFonts w:hint="default" w:ascii="Times New Roman" w:hAnsi="Times New Roman" w:eastAsia="仿宋_GB2312" w:cs="Times New Roman"/>
                <w:kern w:val="24"/>
                <w:sz w:val="24"/>
                <w:szCs w:val="24"/>
              </w:rPr>
              <w:t>社会车、常规公交、出租车、非机动车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万全客运枢纽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社会车、城市城乡公交、出租车、非机动车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昆阳客运枢纽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市域轨道</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w w:val="85"/>
                <w:kern w:val="24"/>
                <w:sz w:val="24"/>
                <w:szCs w:val="24"/>
              </w:rPr>
              <w:t>社会车、中运量公交、常规公交、出租车、非机动车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水头客运枢纽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社会车、城乡公交、出租车、非机动车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sz w:val="24"/>
                <w:szCs w:val="24"/>
              </w:rPr>
              <w:t>萧江客运枢纽</w:t>
            </w:r>
          </w:p>
        </w:tc>
        <w:tc>
          <w:tcPr>
            <w:tcW w:w="220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w:t>
            </w:r>
          </w:p>
        </w:tc>
        <w:tc>
          <w:tcPr>
            <w:tcW w:w="486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仿宋_GB2312" w:cs="Times New Roman"/>
                <w:kern w:val="0"/>
                <w:sz w:val="24"/>
                <w:szCs w:val="24"/>
              </w:rPr>
            </w:pPr>
            <w:r>
              <w:rPr>
                <w:rFonts w:hint="default" w:ascii="Times New Roman" w:hAnsi="Times New Roman" w:eastAsia="仿宋_GB2312" w:cs="Times New Roman"/>
                <w:kern w:val="24"/>
                <w:sz w:val="24"/>
                <w:szCs w:val="24"/>
              </w:rPr>
              <w:t>社会车、常规公交、出租车、非机动车</w:t>
            </w:r>
          </w:p>
        </w:tc>
      </w:tr>
    </w:tbl>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4886325" cy="3314700"/>
            <wp:effectExtent l="0" t="0" r="9525" b="0"/>
            <wp:docPr id="51" name="图片 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1" name="图片 48"/>
                    <pic:cNvPicPr>
                      <a:picLocks noChangeAspect="true"/>
                    </pic:cNvPicPr>
                  </pic:nvPicPr>
                  <pic:blipFill>
                    <a:blip r:embed="rId17"/>
                    <a:stretch>
                      <a:fillRect/>
                    </a:stretch>
                  </pic:blipFill>
                  <pic:spPr>
                    <a:xfrm>
                      <a:off x="0" y="0"/>
                      <a:ext cx="4886325" cy="33147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图4-4 平阳综合客运枢纽布局图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（2）综合货运枢纽布局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综合货运枢纽是具有货物集散、仓储、中转运输等功能，实现不同运输方式之间的货物有效换装与衔接，并具备完备信息系统的货运作业与服务场所。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综合货运枢纽是各种货运方式有效衔接的实体形式，是组织跨方式、跨线路协调运营、联合运输的重要载体，是综合立体交通网络的关键组成部分，是提高货物运输效率的有力支撑。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按照整合设施存量、合理配置增量原则，构建“区域综合物流园区-片区物流中心-城镇末端配送网点”规划形成</w:t>
      </w:r>
      <w:r>
        <w:rPr>
          <w:rFonts w:hint="default" w:ascii="Times New Roman" w:hAnsi="Times New Roman" w:cs="Times New Roman"/>
          <w:b/>
          <w:bCs/>
          <w:sz w:val="32"/>
          <w:szCs w:val="32"/>
        </w:rPr>
        <w:t>“1+4+N”</w:t>
      </w:r>
      <w:r>
        <w:rPr>
          <w:rFonts w:hint="default" w:ascii="Times New Roman" w:hAnsi="Times New Roman" w:cs="Times New Roman"/>
          <w:sz w:val="32"/>
          <w:szCs w:val="32"/>
        </w:rPr>
        <w:t>的县域货运枢纽布局。高标准建设滨海综合物流园，为平阳物流发展提供一体化枢纽功能。加快根据平阳县块状经济特色兼顾城镇发展需求建设四大片区物流中心，提供集货、送货、转运、加工、配送等功能。完善乡镇配送网络体系，优化末端配送网络，建设综合性乡镇配送中心，打通城乡配送“最后一百米”。</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“一主”：滨海综合物流园区； </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“四副”：鳌江物流中心、万全物流中心、萧麻物流中心、水头物流中心；</w:t>
      </w:r>
    </w:p>
    <w:p>
      <w:pPr>
        <w:pStyle w:val="20"/>
        <w:keepNext w:val="0"/>
        <w:keepLines w:val="0"/>
        <w:pageBreakBefore w:val="0"/>
        <w:widowControl w:val="0"/>
        <w:numPr>
          <w:ilvl w:val="0"/>
          <w:numId w:val="4"/>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“多点”：腾蛟、顺溪、山门等地建设多个城乡物流末端配送中心，提供乡镇、村庄消费品以及农产品、农资集散功能。</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表4-3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货运枢纽功能定位</w:t>
      </w:r>
    </w:p>
    <w:tbl>
      <w:tblPr>
        <w:tblStyle w:val="16"/>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2"/>
        <w:gridCol w:w="5323"/>
        <w:gridCol w:w="1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货运枢纽</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功能定位</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滨海综合物流基地</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结合滨海新区智能制造产业集群建设，打造辐射浙南地区的滨海综合物流园，包括中转集运（联运）、仓储配送、流通加工、综合服务和后勤配套等五大主要功能。</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鳌江物流中心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辐射鳌江、龙港、苍南，主要为区域内的工业和商贸提供物流服务，面向印刷包装、服装、商务礼品、日常百货等产业开展仓储、配载、配送、流通加工等服务。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6"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万全物流中心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辐射万全、昆阳、瑞安等主要区域工业发展提供物流支持，联动滨海综合物流园探索开展库存管理、运输分拨、采购供应等供应链物流服务，同时物流中心还将为昆阳的城市生活提供商贸配送物流服务。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萧麻物流中心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辐射萧江、麻步，以区域内工业企业为主要服务对象，为塑编塑包等产业提供物流服务，重点为油墨、塑料原材料等危化品提供专业物流和仓储，形成制造业与物流联动发展</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水头物流中心</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辐射平阳西部片区，为水头宠物用品等提供电商物流服务，同时建设冷库等冷链物流设备，主要为西部片区提供生活物资配送服务，提供冷链物流、农产品增值加工，网络配送等物流服务。</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jc w:val="center"/>
        </w:trPr>
        <w:tc>
          <w:tcPr>
            <w:tcW w:w="197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钱仓物流节点、麻步物流节点、山门物流节点等多点</w:t>
            </w:r>
          </w:p>
        </w:tc>
        <w:tc>
          <w:tcPr>
            <w:tcW w:w="53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城镇物流节点和乡村配送点，主要承担物流中心和配送站服务盲区的集货和配送功能。</w:t>
            </w:r>
          </w:p>
        </w:tc>
        <w:tc>
          <w:tcPr>
            <w:tcW w:w="160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w:t>
            </w:r>
          </w:p>
        </w:tc>
      </w:tr>
    </w:tbl>
    <w:p>
      <w:pPr>
        <w:keepNext w:val="0"/>
        <w:keepLines w:val="0"/>
        <w:pageBreakBefore w:val="0"/>
        <w:widowControl w:val="0"/>
        <w:kinsoku/>
        <w:wordWrap/>
        <w:overflowPunct/>
        <w:topLinePunct w:val="0"/>
        <w:autoSpaceDE/>
        <w:autoSpaceDN/>
        <w:bidi w:val="0"/>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5324475" cy="3543300"/>
            <wp:effectExtent l="0" t="0" r="9525" b="0"/>
            <wp:docPr id="50" name="图片 4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true"/>
                    </pic:cNvPicPr>
                  </pic:nvPicPr>
                  <pic:blipFill>
                    <a:blip r:embed="rId18"/>
                    <a:srcRect l="1482" t="14528" r="19308" b="9312"/>
                    <a:stretch>
                      <a:fillRect/>
                    </a:stretch>
                  </pic:blipFill>
                  <pic:spPr>
                    <a:xfrm>
                      <a:off x="0" y="0"/>
                      <a:ext cx="5324475" cy="35433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图4-5 平阳综合货运枢纽布局图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59" w:name="_Toc35595527"/>
      <w:r>
        <w:rPr>
          <w:rFonts w:hint="default" w:ascii="Times New Roman" w:hAnsi="Times New Roman" w:eastAsia="仿宋_GB2312" w:cs="Times New Roman"/>
          <w:b/>
          <w:bCs/>
          <w:kern w:val="2"/>
          <w:sz w:val="32"/>
          <w:szCs w:val="32"/>
          <w:lang w:val="en-US" w:eastAsia="zh-CN" w:bidi="ar-SA"/>
        </w:rPr>
        <w:t>4</w:t>
      </w:r>
      <w:r>
        <w:rPr>
          <w:rFonts w:hint="eastAsia" w:cs="Times New Roman"/>
          <w:b/>
          <w:bCs/>
          <w:sz w:val="32"/>
          <w:szCs w:val="32"/>
          <w:lang w:val="en-US" w:eastAsia="zh-CN"/>
        </w:rPr>
        <w:t>．</w:t>
      </w:r>
      <w:r>
        <w:rPr>
          <w:rFonts w:hint="default" w:ascii="Times New Roman" w:hAnsi="Times New Roman" w:eastAsia="仿宋_GB2312" w:cs="Times New Roman"/>
          <w:b/>
          <w:bCs/>
          <w:kern w:val="2"/>
          <w:sz w:val="32"/>
          <w:szCs w:val="32"/>
          <w:lang w:val="en-US" w:eastAsia="zh-CN" w:bidi="ar-SA"/>
        </w:rPr>
        <w:t>综合交通网络布局</w:t>
      </w:r>
      <w:bookmarkEnd w:id="59"/>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eastAsia="仿宋" w:cs="Times New Roman"/>
          <w:sz w:val="32"/>
          <w:szCs w:val="32"/>
        </w:rPr>
      </w:pPr>
      <w:r>
        <w:rPr>
          <w:rFonts w:hint="default" w:ascii="Times New Roman" w:hAnsi="Times New Roman" w:cs="Times New Roman"/>
          <w:sz w:val="32"/>
          <w:szCs w:val="32"/>
        </w:rPr>
        <w:t>规划形成</w:t>
      </w:r>
      <w:r>
        <w:rPr>
          <w:rFonts w:hint="default" w:ascii="Times New Roman" w:hAnsi="Times New Roman" w:eastAsia="仿宋" w:cs="Times New Roman"/>
          <w:sz w:val="32"/>
          <w:szCs w:val="32"/>
        </w:rPr>
        <w:t>对外骨干网</w:t>
      </w:r>
      <w:r>
        <w:rPr>
          <w:rFonts w:hint="default" w:ascii="Times New Roman" w:hAnsi="Times New Roman" w:cs="Times New Roman"/>
          <w:sz w:val="32"/>
          <w:szCs w:val="32"/>
        </w:rPr>
        <w:t>、</w:t>
      </w:r>
      <w:r>
        <w:rPr>
          <w:rFonts w:hint="default" w:ascii="Times New Roman" w:hAnsi="Times New Roman" w:eastAsia="仿宋" w:cs="Times New Roman"/>
          <w:sz w:val="32"/>
          <w:szCs w:val="32"/>
        </w:rPr>
        <w:t>一体化快速网</w:t>
      </w:r>
      <w:r>
        <w:rPr>
          <w:rFonts w:hint="default" w:ascii="Times New Roman" w:hAnsi="Times New Roman" w:cs="Times New Roman"/>
          <w:sz w:val="32"/>
          <w:szCs w:val="32"/>
        </w:rPr>
        <w:t>、</w:t>
      </w:r>
      <w:r>
        <w:rPr>
          <w:rFonts w:hint="default" w:ascii="Times New Roman" w:hAnsi="Times New Roman" w:eastAsia="仿宋" w:cs="Times New Roman"/>
          <w:sz w:val="32"/>
          <w:szCs w:val="32"/>
        </w:rPr>
        <w:t>基础服务网</w:t>
      </w:r>
      <w:r>
        <w:rPr>
          <w:rFonts w:hint="default" w:ascii="Times New Roman" w:hAnsi="Times New Roman" w:eastAsia="仿宋" w:cs="Times New Roman"/>
          <w:b/>
          <w:bCs/>
          <w:sz w:val="32"/>
          <w:szCs w:val="32"/>
        </w:rPr>
        <w:t>“三张网”</w:t>
      </w:r>
      <w:r>
        <w:rPr>
          <w:rFonts w:hint="default" w:ascii="Times New Roman" w:hAnsi="Times New Roman" w:eastAsia="仿宋" w:cs="Times New Roman"/>
          <w:sz w:val="32"/>
          <w:szCs w:val="32"/>
        </w:rPr>
        <w:t>,并在此基础上打造县域普通干线公路网布局。</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（3）对外骨干网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高速铁路、普速铁路、高速公路共同构成对外骨干网，提供高品质、快速度交通运输服务，是平阳实现区域对外快速联系的主要交通依托，是现代化综合交通网的骨干网络。</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229225" cy="3533775"/>
            <wp:effectExtent l="0" t="0" r="9525" b="9525"/>
            <wp:docPr id="53" name="图片 5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50"/>
                    <pic:cNvPicPr>
                      <a:picLocks noChangeAspect="true"/>
                    </pic:cNvPicPr>
                  </pic:nvPicPr>
                  <pic:blipFill>
                    <a:blip r:embed="rId19"/>
                    <a:stretch>
                      <a:fillRect/>
                    </a:stretch>
                  </pic:blipFill>
                  <pic:spPr>
                    <a:xfrm>
                      <a:off x="0" y="0"/>
                      <a:ext cx="5229225" cy="35337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图4-6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平阳对外骨干网布局图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8"/>
        <w:keepNext w:val="0"/>
        <w:keepLines w:val="0"/>
        <w:pageBreakBefore w:val="0"/>
        <w:widowControl w:val="0"/>
        <w:numPr>
          <w:ilvl w:val="0"/>
          <w:numId w:val="5"/>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高速铁路和普速铁路布局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高速铁路是现代综合立体交通网的核心骨架，主要承担跨区域的中长距离快速客流运输，构建平阳融入长三角城市群、对接海西经济区多向陆路快速通道，服务宏观战略和区域城镇格局优化。</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普速铁路是大宗货物运输的主要干线和运输结构转型升级的重要依托。以发展集装箱运输和水铁联运为突破口，有效增强陆路货运能力。</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“Y” 字型</w:t>
      </w:r>
      <w:r>
        <w:rPr>
          <w:rFonts w:hint="default" w:ascii="Times New Roman" w:hAnsi="Times New Roman" w:cs="Times New Roman"/>
          <w:sz w:val="32"/>
          <w:szCs w:val="32"/>
        </w:rPr>
        <w:t>的布局形态，两条铁路分别为甬台温铁路和甬台温高铁。</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jc w:val="center"/>
        <w:textAlignment w:val="auto"/>
        <w:rPr>
          <w:rFonts w:hint="default" w:ascii="Times New Roman" w:hAnsi="Times New Roman" w:cs="Times New Roman"/>
          <w:sz w:val="32"/>
          <w:szCs w:val="32"/>
        </w:rPr>
      </w:pP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172075" cy="3524250"/>
            <wp:effectExtent l="0" t="0" r="9525" b="0"/>
            <wp:docPr id="54" name="图片 5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true"/>
                    </pic:cNvPicPr>
                  </pic:nvPicPr>
                  <pic:blipFill>
                    <a:blip r:embed="rId20"/>
                    <a:srcRect l="1266" t="13460" r="19019" b="7922"/>
                    <a:stretch>
                      <a:fillRect/>
                    </a:stretch>
                  </pic:blipFill>
                  <pic:spPr>
                    <a:xfrm>
                      <a:off x="0" y="0"/>
                      <a:ext cx="5172075" cy="352425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图4-7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平阳铁路及轨道交通规划布局图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8"/>
        <w:keepNext w:val="0"/>
        <w:keepLines w:val="0"/>
        <w:pageBreakBefore w:val="0"/>
        <w:widowControl w:val="0"/>
        <w:numPr>
          <w:ilvl w:val="0"/>
          <w:numId w:val="5"/>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高速公路布局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高速公路是区域陆路快速客货运输的主体，综合交通枢纽快速集疏运体系的重要组成和市域对外骨干网的主骨架。从存量挖潜、新增优质增量与网络衔接入手，强化对主要乡镇、产业园区、重要景区等的覆盖支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“三纵、两横</w:t>
      </w:r>
      <w:r>
        <w:rPr>
          <w:rFonts w:hint="default" w:ascii="Times New Roman" w:hAnsi="Times New Roman" w:cs="Times New Roman"/>
          <w:sz w:val="32"/>
          <w:szCs w:val="32"/>
        </w:rPr>
        <w:t>”的布局形态：</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“三纵”：温州绕城高速、瑞苍高速、合温高速南延；</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“两横”：甬台温高速、甬台温复线。</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334000" cy="3543300"/>
            <wp:effectExtent l="0" t="0" r="0" b="0"/>
            <wp:docPr id="55"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52"/>
                    <pic:cNvPicPr>
                      <a:picLocks noChangeAspect="true"/>
                    </pic:cNvPicPr>
                  </pic:nvPicPr>
                  <pic:blipFill>
                    <a:blip r:embed="rId21"/>
                    <a:stretch>
                      <a:fillRect/>
                    </a:stretch>
                  </pic:blipFill>
                  <pic:spPr>
                    <a:xfrm>
                      <a:off x="0" y="0"/>
                      <a:ext cx="5334000" cy="354330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图4-8</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平阳高速公路规划布局图</w:t>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（4）一体化快速网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县域轨道、普通国省道、港口、航道共同构成运行效率高、服务能力强的一体化快速网络，是平阳实现与周边城市联系、支撑县域空间结构发展、实现县域内各主要功能节点间互联互通，打造县域半小时快捷交通圈的主要交通依托。</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县域轨道布局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城市轨道是城市公共交通的主骨架，以推动温州南部地区发展、支撑城市用地布局、优化城市功能分区、助推公共交通发展为导向，加快完善城市轨道交通网络。</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规划1条城市轨道：温州市域S3线。S3线为温州南北走向市域线，承担都市区范围内沿海区域南北向组团间快速交通联系，在平阳境内南北贯穿东部城镇群，提供平阳与温州市区间快速、大容量的公交化服务。</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普通国省道布局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 xml:space="preserve">普通国省道是集散性客货运输的主体，主要承担中短距离客货运输。注重均衡布局，增加乡镇和重要经济节点的通达水平。注重存量优化，推进普通国省道网络提升改造。 </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规划形成</w:t>
      </w:r>
      <w:r>
        <w:rPr>
          <w:rFonts w:hint="default" w:ascii="Times New Roman" w:hAnsi="Times New Roman" w:cs="Times New Roman"/>
          <w:b/>
          <w:bCs/>
          <w:sz w:val="32"/>
          <w:szCs w:val="32"/>
        </w:rPr>
        <w:t>“两纵、两横”</w:t>
      </w:r>
      <w:r>
        <w:rPr>
          <w:rFonts w:hint="default" w:ascii="Times New Roman" w:hAnsi="Times New Roman" w:cs="Times New Roman"/>
          <w:sz w:val="32"/>
          <w:szCs w:val="32"/>
        </w:rPr>
        <w:t>的布局形态：</w:t>
      </w:r>
    </w:p>
    <w:p>
      <w:pPr>
        <w:pStyle w:val="20"/>
        <w:keepNext w:val="0"/>
        <w:keepLines w:val="0"/>
        <w:pageBreakBefore w:val="0"/>
        <w:widowControl w:val="0"/>
        <w:numPr>
          <w:ilvl w:val="0"/>
          <w:numId w:val="7"/>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“两纵”：G104、G228；</w:t>
      </w:r>
    </w:p>
    <w:p>
      <w:pPr>
        <w:pStyle w:val="20"/>
        <w:keepNext w:val="0"/>
        <w:keepLines w:val="0"/>
        <w:pageBreakBefore w:val="0"/>
        <w:widowControl w:val="0"/>
        <w:numPr>
          <w:ilvl w:val="0"/>
          <w:numId w:val="7"/>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“两横”：安吉-龙港省道、临安-苍南省道。</w:t>
      </w:r>
    </w:p>
    <w:p>
      <w:pPr>
        <w:keepNext w:val="0"/>
        <w:keepLines w:val="0"/>
        <w:pageBreakBefore w:val="0"/>
        <w:widowControl w:val="0"/>
        <w:kinsoku/>
        <w:wordWrap/>
        <w:overflowPunct/>
        <w:topLinePunct w:val="0"/>
        <w:autoSpaceDE/>
        <w:autoSpaceDN/>
        <w:bidi w:val="0"/>
        <w:adjustRightInd/>
        <w:snapToGrid w:val="0"/>
        <w:spacing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5143500" cy="3476625"/>
            <wp:effectExtent l="0" t="0" r="0" b="9525"/>
            <wp:docPr id="56"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53"/>
                    <pic:cNvPicPr>
                      <a:picLocks noChangeAspect="true"/>
                    </pic:cNvPicPr>
                  </pic:nvPicPr>
                  <pic:blipFill>
                    <a:blip r:embed="rId22"/>
                    <a:stretch>
                      <a:fillRect/>
                    </a:stretch>
                  </pic:blipFill>
                  <pic:spPr>
                    <a:xfrm>
                      <a:off x="0" y="0"/>
                      <a:ext cx="5143500" cy="347662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图4-9</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 xml:space="preserve"> 平阳县国省道规划布局图</w:t>
      </w:r>
    </w:p>
    <w:p>
      <w:pPr>
        <w:pStyle w:val="8"/>
        <w:keepNext w:val="0"/>
        <w:keepLines w:val="0"/>
        <w:pageBreakBefore w:val="0"/>
        <w:widowControl w:val="0"/>
        <w:numPr>
          <w:ilvl w:val="0"/>
          <w:numId w:val="6"/>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港口水运布局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平阳港区未来将形成北侧以服务石油化工等大型临港工业为主，兼顾大宗散货运输；南侧以服务高端装备制造及其他新兴产业为主；港池底部岸线满足公共运输和客运滚装需求；同时，海向预留四个大型深水港池，以满足未来发展需求。</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港区作业区：鳌江作业区，保留部分小型渔业生产型码头功能，做强旅游客运码头，打造海上旅游交通枢纽。西湾作业区远期阶段是平阳主要码头区。远期在中期基础上继续沿东侧开发，作为通用、石化码头岸线，长1200m。</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内河航道：远期贯通平瑞内河与鳌江航道，打通从温瑞内河沿飞云江，经鳌江下厂至苍南龙金内河，作为平阳港区的水上集疏运水上通道，同时也是浙南纵向的内河主通道。港区航道按照3000吨级标准船型进行设计，需结合西湾围垦工程对外航道进行整治。</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（5）基础服务网</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以农村公路为主体，通用航空为补充，构建广覆盖、深通达、惠及广的综合交通基础服务网络，是对外骨干网和一体化快速网的重要补充，是推进城乡交通运输服务体系建设、推动交通运输基本公共服务均等化的有力支撑。</w:t>
      </w:r>
    </w:p>
    <w:p>
      <w:pPr>
        <w:pStyle w:val="8"/>
        <w:keepNext w:val="0"/>
        <w:keepLines w:val="0"/>
        <w:pageBreakBefore w:val="0"/>
        <w:widowControl w:val="0"/>
        <w:numPr>
          <w:ilvl w:val="0"/>
          <w:numId w:val="8"/>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农村公路发展重点</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启动交通内网畅通工程，加快实施农村公路改造提升工程，逐步完善城市至乡镇、乡镇至村的主要道路，引导农村公路向更高水平发展，尽早便捷化、畅通化。加快“四好农村路”建设，促进城乡一体化，使城市与农村，中心镇与中心村实现连接；加大农村公路改造力度，构筑城乡一体化公路网络，为平阳县实现跨越式发展提供必要保障。“十四五”时期，平阳县预计投资57亿元，新建农村联网公路333条，改造危病桥15座，打造一批美丽公路。</w:t>
      </w:r>
    </w:p>
    <w:p>
      <w:pPr>
        <w:pStyle w:val="8"/>
        <w:keepNext w:val="0"/>
        <w:keepLines w:val="0"/>
        <w:pageBreakBefore w:val="0"/>
        <w:widowControl w:val="0"/>
        <w:numPr>
          <w:ilvl w:val="0"/>
          <w:numId w:val="8"/>
        </w:numPr>
        <w:kinsoku/>
        <w:wordWrap/>
        <w:overflowPunct/>
        <w:topLinePunct w:val="0"/>
        <w:autoSpaceDE/>
        <w:autoSpaceDN/>
        <w:bidi w:val="0"/>
        <w:adjustRightInd/>
        <w:snapToGrid w:val="0"/>
        <w:spacing w:before="0" w:after="0" w:line="560" w:lineRule="exact"/>
        <w:ind w:left="0" w:firstLine="960" w:firstLineChars="3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通用航空发展重点</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通用机场作为通用航空发展的基石和重要载体，是专供通用航空飞行任务起降的机场，也是综合交通基础设施网络的重要组成部分。规划建设1个A2级通用机场，主要开展航空运输、低空旅游、航空作业等业务，具备开展应急救援和医疗救援等社会公共服务功能。同时，为积极响应全省空中1小时交通圈的发展目标，依托通用航空产业基地，推进特色航空小镇建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（6）特色网络布局 – 普通干线公路网布局</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kern w:val="0"/>
          <w:sz w:val="32"/>
          <w:szCs w:val="32"/>
        </w:rPr>
      </w:pPr>
      <w:r>
        <w:rPr>
          <w:rFonts w:hint="default" w:ascii="Times New Roman" w:hAnsi="Times New Roman" w:cs="Times New Roman"/>
          <w:kern w:val="0"/>
          <w:sz w:val="32"/>
          <w:szCs w:val="32"/>
        </w:rPr>
        <w:t>普通干线公路网由普通国省道、重要县道、城市道路组成。其中，普通国省道形成</w:t>
      </w:r>
      <w:r>
        <w:rPr>
          <w:rFonts w:hint="default" w:ascii="Times New Roman" w:hAnsi="Times New Roman" w:cs="Times New Roman"/>
          <w:b/>
          <w:bCs/>
          <w:kern w:val="0"/>
          <w:sz w:val="32"/>
          <w:szCs w:val="32"/>
        </w:rPr>
        <w:t>“两纵、两横”</w:t>
      </w:r>
      <w:r>
        <w:rPr>
          <w:rFonts w:hint="default" w:ascii="Times New Roman" w:hAnsi="Times New Roman" w:cs="Times New Roman"/>
          <w:kern w:val="0"/>
          <w:sz w:val="32"/>
          <w:szCs w:val="32"/>
        </w:rPr>
        <w:t>的布局形态，平阳县域公路规划形成“一轴两翼、十射、六连”的布局形态：</w:t>
      </w:r>
    </w:p>
    <w:p>
      <w:pPr>
        <w:pStyle w:val="20"/>
        <w:keepNext w:val="0"/>
        <w:keepLines w:val="0"/>
        <w:pageBreakBefore w:val="0"/>
        <w:widowControl w:val="0"/>
        <w:numPr>
          <w:ilvl w:val="0"/>
          <w:numId w:val="9"/>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“一轴两翼”布局</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一轴</w:t>
      </w:r>
      <w:r>
        <w:rPr>
          <w:rFonts w:hint="default" w:ascii="Times New Roman" w:hAnsi="Times New Roman" w:cs="Times New Roman"/>
          <w:sz w:val="32"/>
          <w:szCs w:val="32"/>
        </w:rPr>
        <w:t>：环城北路、104国道西过境水头接线、57省道复线。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一翼（环古盘山快速交通环线）</w:t>
      </w:r>
      <w:r>
        <w:rPr>
          <w:rFonts w:hint="default" w:ascii="Times New Roman" w:hAnsi="Times New Roman" w:cs="Times New Roman"/>
          <w:sz w:val="32"/>
          <w:szCs w:val="32"/>
        </w:rPr>
        <w:t>：昆宋公路及其东延、疏港大道、沿海公路、车站大道、昆鳌大道。</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二翼（西部乡镇县道环线）</w:t>
      </w:r>
      <w:r>
        <w:rPr>
          <w:rFonts w:hint="default" w:ascii="Times New Roman" w:hAnsi="Times New Roman" w:cs="Times New Roman"/>
          <w:sz w:val="32"/>
          <w:szCs w:val="32"/>
        </w:rPr>
        <w:t>：S218至S219连接线工程、灵内线、水南公路、灵溪线；</w:t>
      </w:r>
    </w:p>
    <w:p>
      <w:pPr>
        <w:pStyle w:val="20"/>
        <w:keepNext w:val="0"/>
        <w:keepLines w:val="0"/>
        <w:pageBreakBefore w:val="0"/>
        <w:widowControl w:val="0"/>
        <w:numPr>
          <w:ilvl w:val="0"/>
          <w:numId w:val="9"/>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射线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一射：万鳌公路；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二射：老G104（往瑞安方向）；</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三射：老G104（往龙港方向）；</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四射：钱马公路；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五射：218省道至瑞安平阳坑连接线工程；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六射：红旅水头至凤卧专用道路；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七射：顺溪至怀溪公路—文平公路；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八射：顺溪至吴</w:t>
      </w:r>
      <w:r>
        <w:rPr>
          <w:rFonts w:hint="default" w:ascii="Times New Roman" w:hAnsi="Times New Roman" w:eastAsia="微软雅黑" w:cs="Times New Roman"/>
          <w:sz w:val="32"/>
          <w:szCs w:val="32"/>
        </w:rPr>
        <w:t>垟</w:t>
      </w:r>
      <w:r>
        <w:rPr>
          <w:rFonts w:hint="default" w:ascii="Times New Roman" w:hAnsi="Times New Roman" w:cs="Times New Roman"/>
          <w:sz w:val="32"/>
          <w:szCs w:val="32"/>
        </w:rPr>
        <w:t>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九射：平阳至泰顺道路工程；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十射：南雁至顺溪公路。</w:t>
      </w:r>
    </w:p>
    <w:p>
      <w:pPr>
        <w:pStyle w:val="20"/>
        <w:keepNext w:val="0"/>
        <w:keepLines w:val="0"/>
        <w:pageBreakBefore w:val="0"/>
        <w:widowControl w:val="0"/>
        <w:numPr>
          <w:ilvl w:val="0"/>
          <w:numId w:val="11"/>
        </w:numPr>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sz w:val="32"/>
          <w:szCs w:val="32"/>
        </w:rPr>
      </w:pPr>
      <w:r>
        <w:rPr>
          <w:rFonts w:hint="default" w:ascii="Times New Roman" w:hAnsi="Times New Roman" w:cs="Times New Roman"/>
          <w:b/>
          <w:bCs/>
          <w:sz w:val="32"/>
          <w:szCs w:val="32"/>
        </w:rPr>
        <w:t>连线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一连：港站城大道；</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二连：温瑞快速路平阳段延伸工程；</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三连：瑞安曹村至平阳昆阳公路；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四连：万锦公路；</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五连：南雁互通连接线。</w:t>
      </w:r>
    </w:p>
    <w:p>
      <w:pPr>
        <w:pStyle w:val="20"/>
        <w:keepNext w:val="0"/>
        <w:keepLines w:val="0"/>
        <w:pageBreakBefore w:val="0"/>
        <w:widowControl w:val="0"/>
        <w:numPr>
          <w:ilvl w:val="0"/>
          <w:numId w:val="10"/>
        </w:numPr>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六连：水头互通连接线</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left="0"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895850" cy="3392805"/>
            <wp:effectExtent l="0" t="0" r="0" b="17145"/>
            <wp:docPr id="52"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54"/>
                    <pic:cNvPicPr>
                      <a:picLocks noChangeAspect="true"/>
                    </pic:cNvPicPr>
                  </pic:nvPicPr>
                  <pic:blipFill>
                    <a:blip r:embed="rId23"/>
                    <a:srcRect l="757" t="13976" r="17799" b="7681"/>
                    <a:stretch>
                      <a:fillRect/>
                    </a:stretch>
                  </pic:blipFill>
                  <pic:spPr>
                    <a:xfrm>
                      <a:off x="0" y="0"/>
                      <a:ext cx="4895850" cy="339280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图4-10 </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平阳普通干线公路网布局图</w:t>
      </w:r>
    </w:p>
    <w:p>
      <w:pPr>
        <w:rPr>
          <w:rFonts w:hint="default" w:ascii="Times New Roman" w:hAnsi="Times New Roman" w:cs="Times New Roman"/>
          <w:sz w:val="32"/>
          <w:szCs w:val="32"/>
        </w:rPr>
      </w:pPr>
      <w:bookmarkStart w:id="60" w:name="_Toc38641009"/>
      <w:bookmarkStart w:id="61" w:name="_Toc102660580"/>
      <w:r>
        <w:rPr>
          <w:rFonts w:hint="default" w:ascii="Times New Roman" w:hAnsi="Times New Roman"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五、“十四五”发展重点及任务</w:t>
      </w:r>
      <w:bookmarkEnd w:id="60"/>
      <w:bookmarkEnd w:id="61"/>
    </w:p>
    <w:p>
      <w:pPr>
        <w:pStyle w:val="5"/>
        <w:keepNext w:val="0"/>
        <w:keepLines w:val="0"/>
        <w:pageBreakBefore w:val="0"/>
        <w:widowControl w:val="0"/>
        <w:numPr>
          <w:ilvl w:val="0"/>
          <w:numId w:val="0"/>
        </w:numPr>
        <w:kinsoku/>
        <w:wordWrap/>
        <w:overflowPunct/>
        <w:topLinePunct w:val="0"/>
        <w:autoSpaceDE/>
        <w:autoSpaceDN/>
        <w:bidi w:val="0"/>
        <w:adjustRightInd/>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2" w:name="_Toc102660581"/>
      <w:r>
        <w:rPr>
          <w:rFonts w:hint="default" w:ascii="Times New Roman" w:hAnsi="Times New Roman" w:eastAsia="楷体_GB2312" w:cs="Times New Roman"/>
          <w:b w:val="0"/>
          <w:bCs w:val="0"/>
          <w:sz w:val="32"/>
          <w:szCs w:val="32"/>
        </w:rPr>
        <w:t>任务1：谋划区域一体化交通布局，融入省市级交通大通道</w:t>
      </w:r>
      <w:bookmarkEnd w:id="62"/>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“十四五”期间，平阳县将以 “六纵六横两环”为布局，加快完工104国道西过境建设，加上现有228国道、甬台温高速公路、甬台温高速公路复线、老104国道、万鳌公路形成“六纵”。规划228国道至海西公路，加上现有绕西南高速公路、昆宋公路、城东至海西公路（城新线）疏港大道、胜利路、形成“六横”；开工古盘山快速通道二期工程，规划城海线，与胜利路、228国道以及古盘山快速通道一期工程组成内环；开工滨海景观大道，与昆宋公路、疏港公路、车站大道、昆鳌大道组成外环。</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紧抓温州南部区域一体化发展契机，充分发挥设施资源优势，综合优化县域立体交通布局。对外依托通用机场、高速公路、城市轨道交通建设，扩大区域、都市圈交通时空圈辐射广度；对内依托高等级快速公路衔接，打造内联畅通，出行便捷的交通体系。进一步提升平阳作为温州南部交通枢纽的服务能级。</w:t>
      </w:r>
    </w:p>
    <w:p>
      <w:pPr>
        <w:keepNext w:val="0"/>
        <w:keepLines w:val="0"/>
        <w:pageBreakBefore w:val="0"/>
        <w:widowControl w:val="0"/>
        <w:kinsoku/>
        <w:wordWrap/>
        <w:overflowPunct/>
        <w:topLinePunct w:val="0"/>
        <w:autoSpaceDE/>
        <w:autoSpaceDN/>
        <w:bidi w:val="0"/>
        <w:adjustRightInd/>
        <w:spacing w:line="560" w:lineRule="exact"/>
        <w:ind w:left="0"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1．加快推进高速公路建设，加强对温州南部地区辐射带动</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积极推进高速公路重点项目建设工程，进一步完善县域范围内高速公路网络衔接。加快瑞平苍高速公路（龙丽温至甬台温复线联络线）建设，与龙丽温高速公路、甬台温复线高速公路鳌江形成东西横向贯通三条高速公路，起到连接沿海经济发达区域和山区欠发达区域的横向纽带作用，形成环鳌江流域的高速公路环线，增加经济辐射范围，形成温州南部经济发展的新增长点。满足瑞安、平阳、龙港、苍南之间区域快速交通和防洪救灾通道的迫切需求，建设鳌江流域中心城镇群创造优质交通条件。</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加快推进G15沈海高速公路温州市南白象枢纽至万全枢纽段改扩建工程前期工作，项目建成后对缓解高峰时期G15沈海高速公路部分路段拥堵，完善温州南部地区路网结构有重要意义。</w:t>
      </w:r>
    </w:p>
    <w:p>
      <w:pPr>
        <w:keepNext w:val="0"/>
        <w:keepLines w:val="0"/>
        <w:pageBreakBefore w:val="0"/>
        <w:widowControl w:val="0"/>
        <w:kinsoku/>
        <w:wordWrap/>
        <w:overflowPunct/>
        <w:topLinePunct w:val="0"/>
        <w:autoSpaceDE/>
        <w:autoSpaceDN/>
        <w:bidi w:val="0"/>
        <w:adjustRightInd/>
        <w:spacing w:line="560" w:lineRule="exact"/>
        <w:ind w:left="0"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积极谋划合温高速南延工程，力争纳入省市级规划，该通道建成后与合温高速、瑞苍高速景宁至柘荣高速共同形成纵贯皖、浙、闽三省的南北大通道，进一步扩大县域高速公路15分钟时空圈覆盖范围，大幅改善平阳县西部地区出行不便问题。</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表5-1</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平阳县“十四五”时期高速公路重点建设项目表</w:t>
      </w:r>
    </w:p>
    <w:tbl>
      <w:tblPr>
        <w:tblStyle w:val="16"/>
        <w:tblW w:w="8814" w:type="dxa"/>
        <w:jc w:val="center"/>
        <w:tblLayout w:type="fixed"/>
        <w:tblCellMar>
          <w:top w:w="0" w:type="dxa"/>
          <w:left w:w="0" w:type="dxa"/>
          <w:bottom w:w="0" w:type="dxa"/>
          <w:right w:w="0" w:type="dxa"/>
        </w:tblCellMar>
      </w:tblPr>
      <w:tblGrid>
        <w:gridCol w:w="1953"/>
        <w:gridCol w:w="2335"/>
        <w:gridCol w:w="1252"/>
        <w:gridCol w:w="951"/>
        <w:gridCol w:w="1089"/>
        <w:gridCol w:w="1234"/>
      </w:tblGrid>
      <w:tr>
        <w:tblPrEx>
          <w:tblCellMar>
            <w:top w:w="0" w:type="dxa"/>
            <w:left w:w="0" w:type="dxa"/>
            <w:bottom w:w="0" w:type="dxa"/>
            <w:right w:w="0" w:type="dxa"/>
          </w:tblCellMar>
        </w:tblPrEx>
        <w:trPr>
          <w:trHeight w:val="519"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项目名称</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建设内容</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建设年限</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建设性质</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总投资</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十四五投资（亿元）</w:t>
            </w:r>
          </w:p>
        </w:tc>
      </w:tr>
      <w:tr>
        <w:tblPrEx>
          <w:tblCellMar>
            <w:top w:w="0" w:type="dxa"/>
            <w:left w:w="0" w:type="dxa"/>
            <w:bottom w:w="0" w:type="dxa"/>
            <w:right w:w="0" w:type="dxa"/>
          </w:tblCellMar>
        </w:tblPrEx>
        <w:trPr>
          <w:trHeight w:val="623"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瑞平苍高速公路（龙丽温至甬台温复线联络线）</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平阳段全长29公里，路基宽26米，设置互通4处，双向4车道，设计速度为100公里/小时。</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2020-2025</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续建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98</w:t>
            </w:r>
          </w:p>
        </w:tc>
      </w:tr>
      <w:tr>
        <w:tblPrEx>
          <w:tblCellMar>
            <w:top w:w="0" w:type="dxa"/>
            <w:left w:w="0" w:type="dxa"/>
            <w:bottom w:w="0" w:type="dxa"/>
            <w:right w:w="0" w:type="dxa"/>
          </w:tblCellMar>
        </w:tblPrEx>
        <w:trPr>
          <w:trHeight w:val="933" w:hRule="atLeast"/>
          <w:jc w:val="center"/>
        </w:trPr>
        <w:tc>
          <w:tcPr>
            <w:tcW w:w="195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G15 沈海高速公路温州市南白象枢纽至万全枢纽段改扩建工程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eastAsia="宋体" w:cs="Times New Roman"/>
                <w:kern w:val="0"/>
                <w:sz w:val="21"/>
                <w:szCs w:val="21"/>
              </w:rPr>
            </w:pPr>
            <w:r>
              <w:rPr>
                <w:rFonts w:hint="default" w:ascii="Times New Roman" w:hAnsi="Times New Roman" w:cs="Times New Roman"/>
                <w:sz w:val="21"/>
                <w:szCs w:val="21"/>
              </w:rPr>
              <w:t>主线全长27公里，双向四车道扩建为双向八车道高速公路。</w:t>
            </w:r>
          </w:p>
        </w:tc>
        <w:tc>
          <w:tcPr>
            <w:tcW w:w="1252"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2024-2028</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0.3</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甬台温高速增设平阳北互通工程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互通立交区内甬台温高速公路主线长拼宽1040米，匝道总长3136米，互通连接线全长4654米，双向6车道，按照一级公路标准建设。</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2019-2023</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续建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9.6</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6.6</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甬台温高速增设鳌江互通工程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rPr>
                <w:rFonts w:hint="default" w:ascii="Times New Roman" w:hAnsi="Times New Roman" w:cs="Times New Roman"/>
                <w:kern w:val="24"/>
                <w:sz w:val="21"/>
                <w:szCs w:val="21"/>
              </w:rPr>
            </w:pPr>
            <w:r>
              <w:rPr>
                <w:rFonts w:hint="default" w:ascii="Times New Roman" w:hAnsi="Times New Roman" w:cs="Times New Roman"/>
                <w:sz w:val="21"/>
                <w:szCs w:val="21"/>
              </w:rPr>
              <w:t>主线长1.06公里，路基宽24.5m，匝道总长1.82公里，互通连接线长2.398公里，双向4车道，采用一级公路标准建设。</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2020-2023</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sz w:val="21"/>
                <w:szCs w:val="21"/>
              </w:rPr>
              <w:t>6</w:t>
            </w:r>
          </w:p>
        </w:tc>
      </w:tr>
      <w:tr>
        <w:tblPrEx>
          <w:tblCellMar>
            <w:top w:w="0" w:type="dxa"/>
            <w:left w:w="0" w:type="dxa"/>
            <w:bottom w:w="0" w:type="dxa"/>
            <w:right w:w="0" w:type="dxa"/>
          </w:tblCellMar>
        </w:tblPrEx>
        <w:trPr>
          <w:trHeight w:val="467" w:hRule="atLeast"/>
          <w:jc w:val="center"/>
        </w:trPr>
        <w:tc>
          <w:tcPr>
            <w:tcW w:w="1953"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合温高速南延工程</w:t>
            </w:r>
          </w:p>
        </w:tc>
        <w:tc>
          <w:tcPr>
            <w:tcW w:w="233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项目前期谋划中</w:t>
            </w:r>
          </w:p>
        </w:tc>
        <w:tc>
          <w:tcPr>
            <w:tcW w:w="1252"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center"/>
              <w:rPr>
                <w:rFonts w:hint="default" w:ascii="Times New Roman" w:hAnsi="Times New Roman" w:cs="Times New Roman"/>
                <w:kern w:val="24"/>
                <w:sz w:val="21"/>
                <w:szCs w:val="21"/>
              </w:rPr>
            </w:pPr>
            <w:r>
              <w:rPr>
                <w:rFonts w:hint="default" w:ascii="Times New Roman" w:hAnsi="Times New Roman" w:cs="Times New Roman"/>
                <w:kern w:val="0"/>
                <w:sz w:val="21"/>
                <w:szCs w:val="21"/>
              </w:rPr>
              <w:t>—</w:t>
            </w:r>
          </w:p>
        </w:tc>
        <w:tc>
          <w:tcPr>
            <w:tcW w:w="951"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089" w:type="dxa"/>
            <w:tcBorders>
              <w:top w:val="single" w:color="000000" w:sz="8" w:space="0"/>
              <w:left w:val="single" w:color="000000" w:sz="8" w:space="0"/>
              <w:bottom w:val="single" w:color="000000" w:sz="8" w:space="0"/>
              <w:right w:val="single" w:color="000000" w:sz="8" w:space="0"/>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p>
        </w:tc>
        <w:tc>
          <w:tcPr>
            <w:tcW w:w="12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bl>
    <w:p>
      <w:pPr>
        <w:keepNext w:val="0"/>
        <w:keepLines w:val="0"/>
        <w:pageBreakBefore w:val="0"/>
        <w:widowControl w:val="0"/>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 xml:space="preserve">2．积极协调推进沿海高铁等重大项目建设 </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温福高铁途径浙江温州市，福建宁德市和福州市，线路全长313公里，其中温州境内106公里，平阳段全长29公里，设计时速350km/h。建成后，温州都市圈至海西都市圈通行时间缩短至一小时，“十四五”时期加快推进沿海高铁项目前期工作，全力争取在鳌江设站，力争在“十四五”期间开工建设。</w:t>
      </w:r>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铁路S3线作为南部地区融入全市都市区优质生活圈的快速公共客运廊道，作为构建未来温州都市圈的东部沿海联系轴的重要支撑。考虑到未来温州南部地区一体化进程推进，未来温州东部沿海地区南北向客流预计将达到91.5万人次/日，平阳县中心区与温州市中心区以及龙港、苍南的快速化交通联系将愈加紧密。“十四五”时期应向上积极争取市域铁路S3二期工程尽快接入平阳，加快融入全市优质生活圈。</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cs="Times New Roman"/>
          <w:szCs w:val="24"/>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表5-2</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平阳县“十四五”时期铁路及市域铁路重点建设项目表</w:t>
      </w:r>
    </w:p>
    <w:tbl>
      <w:tblPr>
        <w:tblStyle w:val="16"/>
        <w:tblW w:w="8917" w:type="dxa"/>
        <w:jc w:val="center"/>
        <w:tblLayout w:type="fixed"/>
        <w:tblCellMar>
          <w:top w:w="0" w:type="dxa"/>
          <w:left w:w="0" w:type="dxa"/>
          <w:bottom w:w="0" w:type="dxa"/>
          <w:right w:w="0" w:type="dxa"/>
        </w:tblCellMar>
      </w:tblPr>
      <w:tblGrid>
        <w:gridCol w:w="2411"/>
        <w:gridCol w:w="2411"/>
        <w:gridCol w:w="1290"/>
        <w:gridCol w:w="1215"/>
        <w:gridCol w:w="1590"/>
      </w:tblGrid>
      <w:tr>
        <w:tblPrEx>
          <w:tblCellMar>
            <w:top w:w="0" w:type="dxa"/>
            <w:left w:w="0" w:type="dxa"/>
            <w:bottom w:w="0" w:type="dxa"/>
            <w:right w:w="0" w:type="dxa"/>
          </w:tblCellMar>
        </w:tblPrEx>
        <w:trPr>
          <w:trHeight w:val="396"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项目名称</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建设内容</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建设年限</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建设性质</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总投资（亿元）</w:t>
            </w:r>
          </w:p>
        </w:tc>
      </w:tr>
      <w:tr>
        <w:tblPrEx>
          <w:tblCellMar>
            <w:top w:w="0" w:type="dxa"/>
            <w:left w:w="0" w:type="dxa"/>
            <w:bottom w:w="0" w:type="dxa"/>
            <w:right w:w="0" w:type="dxa"/>
          </w:tblCellMar>
        </w:tblPrEx>
        <w:trPr>
          <w:trHeight w:val="616"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温福高铁（平阳段）</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途经浙江温州市、宁德市和福州市；线路全长约313公里，其中温州境内约106公里，平阳段全长约29公里，速度目标值350公里/小时。</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新建</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r>
      <w:tr>
        <w:tblPrEx>
          <w:tblCellMar>
            <w:top w:w="0" w:type="dxa"/>
            <w:left w:w="0" w:type="dxa"/>
            <w:bottom w:w="0" w:type="dxa"/>
            <w:right w:w="0" w:type="dxa"/>
          </w:tblCellMar>
        </w:tblPrEx>
        <w:trPr>
          <w:trHeight w:val="545" w:hRule="atLeast"/>
          <w:jc w:val="center"/>
        </w:trPr>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市域铁路S3线二期工程</w:t>
            </w:r>
          </w:p>
        </w:tc>
        <w:tc>
          <w:tcPr>
            <w:tcW w:w="2411"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市域轨道S3线瑞安南延至苍南。</w:t>
            </w:r>
          </w:p>
        </w:tc>
        <w:tc>
          <w:tcPr>
            <w:tcW w:w="12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t>
            </w:r>
          </w:p>
        </w:tc>
        <w:tc>
          <w:tcPr>
            <w:tcW w:w="121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24"/>
                <w:sz w:val="21"/>
                <w:szCs w:val="21"/>
              </w:rPr>
              <w:t>新建</w:t>
            </w:r>
          </w:p>
        </w:tc>
        <w:tc>
          <w:tcPr>
            <w:tcW w:w="159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80</w:t>
            </w:r>
          </w:p>
        </w:tc>
      </w:tr>
    </w:tbl>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3．加快县域快速化交通体系，构建“畅行平阳”</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十四五”时期，积极推进G104、G228、S218、S219建设，到2021年力争实现104国道西过境线、G228国道（平阳段）建成通车使用。积极推进S218、S219省道前期工作，力争到“十四五”期末基本完成项目主体工作，并积极争取纳入省级重点建设项目。</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进一步贯穿东西通道，畅连“瑞平苍高速+甬台温高速”“218省道+104国道西过境”“港站城大道”“230省道+104国道”“57省道复线+218省道+228国道”五条通道，打通“大动脉”，畅通出行“快时代”。</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西部路网将以“三纵两环十五射”的布局。续建瑞平苍高速平阳段、开工 218省道、219省道组成“三纵”；谋划瑞平苍高速至南雁荡山景区南北接线工程，加上现有的水头环城北路、57省道复线形成“一环通道”；谋划218省道至219省道南北连接线，开工建设环南雁荡山景区道路工程，与现有的闹南公路、防洪通道形成“二环通道”；开工苔湖至维新等五条西部红旅项目，谋划青街至莒溪公路、顺溪至九峰公路、218 省道至平阳坑连接线等项目，加上现有文平公路、雁顺公路、桥南线、仰矾线、顺吴公路等，形成“十五连”，辐射怀溪、顺溪、青街等西部乡镇。继续高质量建设“四好农村路”，畅通“毛细血管”，构建独具平阳特色的美丽公路，为共同富裕增添底色。</w:t>
      </w: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平阳县“十四五”时期国省道项目表</w:t>
      </w:r>
    </w:p>
    <w:tbl>
      <w:tblPr>
        <w:tblStyle w:val="16"/>
        <w:tblW w:w="9498" w:type="dxa"/>
        <w:jc w:val="center"/>
        <w:tblLayout w:type="fixed"/>
        <w:tblCellMar>
          <w:top w:w="0" w:type="dxa"/>
          <w:left w:w="0" w:type="dxa"/>
          <w:bottom w:w="0" w:type="dxa"/>
          <w:right w:w="0" w:type="dxa"/>
        </w:tblCellMar>
      </w:tblPr>
      <w:tblGrid>
        <w:gridCol w:w="1560"/>
        <w:gridCol w:w="2805"/>
        <w:gridCol w:w="1417"/>
        <w:gridCol w:w="989"/>
        <w:gridCol w:w="1593"/>
        <w:gridCol w:w="1134"/>
      </w:tblGrid>
      <w:tr>
        <w:tblPrEx>
          <w:tblCellMar>
            <w:top w:w="0" w:type="dxa"/>
            <w:left w:w="0" w:type="dxa"/>
            <w:bottom w:w="0" w:type="dxa"/>
            <w:right w:w="0" w:type="dxa"/>
          </w:tblCellMar>
        </w:tblPrEx>
        <w:trPr>
          <w:trHeight w:val="556" w:hRule="atLeast"/>
          <w:tblHeader/>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项目名称</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建设内容</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建设年限</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建设性质</w:t>
            </w:r>
          </w:p>
        </w:tc>
        <w:tc>
          <w:tcPr>
            <w:tcW w:w="1593" w:type="dxa"/>
            <w:tcBorders>
              <w:top w:val="single" w:color="000000" w:sz="8" w:space="0"/>
              <w:left w:val="single" w:color="000000" w:sz="8" w:space="0"/>
              <w:bottom w:val="single" w:color="000000" w:sz="8" w:space="0"/>
              <w:right w:val="single" w:color="000000" w:sz="8" w:space="0"/>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总投资</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十四五投资（亿元）</w:t>
            </w:r>
          </w:p>
        </w:tc>
      </w:tr>
      <w:tr>
        <w:tblPrEx>
          <w:tblCellMar>
            <w:top w:w="0" w:type="dxa"/>
            <w:left w:w="0" w:type="dxa"/>
            <w:bottom w:w="0" w:type="dxa"/>
            <w:right w:w="0" w:type="dxa"/>
          </w:tblCellMar>
        </w:tblPrEx>
        <w:trPr>
          <w:trHeight w:val="698"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104 国道瑞安仙降至平阳萧江段改建工程（平阳段）</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cs="Times New Roman"/>
                <w:kern w:val="0"/>
                <w:sz w:val="21"/>
                <w:szCs w:val="21"/>
              </w:rPr>
            </w:pPr>
            <w:r>
              <w:rPr>
                <w:rFonts w:hint="default" w:ascii="Times New Roman" w:hAnsi="Times New Roman" w:cs="Times New Roman"/>
                <w:sz w:val="21"/>
                <w:szCs w:val="21"/>
              </w:rPr>
              <w:t>平阳段主线全长27.151公里，宽32米，双向6车道，设计速度80公里/小时，按照一级公路标准建设；昆阳连接线长2.52公里，水头连接线长13.29公里。</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2016-2021</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续建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45.9</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6</w:t>
            </w:r>
          </w:p>
        </w:tc>
      </w:tr>
      <w:tr>
        <w:tblPrEx>
          <w:tblCellMar>
            <w:top w:w="0" w:type="dxa"/>
            <w:left w:w="0" w:type="dxa"/>
            <w:bottom w:w="0" w:type="dxa"/>
            <w:right w:w="0" w:type="dxa"/>
          </w:tblCellMar>
        </w:tblPrEx>
        <w:trPr>
          <w:trHeight w:val="895"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228国道平阳榆</w:t>
            </w:r>
            <w:r>
              <w:rPr>
                <w:rFonts w:hint="default" w:ascii="Times New Roman" w:hAnsi="Times New Roman" w:eastAsia="微软雅黑" w:cs="Times New Roman"/>
                <w:kern w:val="24"/>
                <w:sz w:val="21"/>
                <w:szCs w:val="21"/>
              </w:rPr>
              <w:t>垟</w:t>
            </w:r>
            <w:r>
              <w:rPr>
                <w:rFonts w:hint="default" w:ascii="Times New Roman" w:hAnsi="Times New Roman" w:cs="Times New Roman"/>
                <w:kern w:val="24"/>
                <w:sz w:val="21"/>
                <w:szCs w:val="21"/>
              </w:rPr>
              <w:t>至鳌江段公路工程</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一级公路标准，设置双向四车道，全长约500米，设中桥一座60米。</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2017-2021</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续建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18.1</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0.8</w:t>
            </w:r>
          </w:p>
        </w:tc>
      </w:tr>
      <w:tr>
        <w:tblPrEx>
          <w:tblCellMar>
            <w:top w:w="0" w:type="dxa"/>
            <w:left w:w="0" w:type="dxa"/>
            <w:bottom w:w="0" w:type="dxa"/>
            <w:right w:w="0" w:type="dxa"/>
          </w:tblCellMar>
        </w:tblPrEx>
        <w:trPr>
          <w:trHeight w:val="512" w:hRule="atLeast"/>
          <w:jc w:val="center"/>
        </w:trPr>
        <w:tc>
          <w:tcPr>
            <w:tcW w:w="156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S218 安吉至龙港公路平阳腾蛟至萧江段工程（前期）</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eastAsia="宋体" w:cs="Times New Roman"/>
                <w:kern w:val="0"/>
                <w:sz w:val="21"/>
                <w:szCs w:val="21"/>
              </w:rPr>
            </w:pPr>
            <w:r>
              <w:rPr>
                <w:rFonts w:hint="default" w:ascii="Times New Roman" w:hAnsi="Times New Roman" w:cs="Times New Roman"/>
                <w:sz w:val="21"/>
                <w:szCs w:val="21"/>
              </w:rPr>
              <w:t>全长33.126公里（利用104国道5.265公里），双向四车道一级公路。分段分期建设。连接线共长3.668公里。</w:t>
            </w:r>
          </w:p>
        </w:tc>
        <w:tc>
          <w:tcPr>
            <w:tcW w:w="141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2023-2027</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30.9</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r>
        <w:tblPrEx>
          <w:tblCellMar>
            <w:top w:w="0" w:type="dxa"/>
            <w:left w:w="0" w:type="dxa"/>
            <w:bottom w:w="0" w:type="dxa"/>
            <w:right w:w="0" w:type="dxa"/>
          </w:tblCellMar>
        </w:tblPrEx>
        <w:trPr>
          <w:trHeight w:val="512" w:hRule="atLeast"/>
          <w:jc w:val="center"/>
        </w:trPr>
        <w:tc>
          <w:tcPr>
            <w:tcW w:w="156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S219 临安至苍南公路平阳怀溪至闹村段工程（前期）</w:t>
            </w:r>
          </w:p>
        </w:tc>
        <w:tc>
          <w:tcPr>
            <w:tcW w:w="2805"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rPr>
                <w:rFonts w:hint="default" w:ascii="Times New Roman" w:hAnsi="Times New Roman" w:cs="Times New Roman"/>
                <w:kern w:val="24"/>
                <w:sz w:val="21"/>
                <w:szCs w:val="21"/>
              </w:rPr>
            </w:pPr>
            <w:r>
              <w:rPr>
                <w:rFonts w:hint="default" w:ascii="Times New Roman" w:hAnsi="Times New Roman" w:cs="Times New Roman"/>
                <w:sz w:val="21"/>
                <w:szCs w:val="21"/>
              </w:rPr>
              <w:t>全长33.71公里，双向四车道一级公路。分段分期建设。</w:t>
            </w:r>
          </w:p>
        </w:tc>
        <w:tc>
          <w:tcPr>
            <w:tcW w:w="1417"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pStyle w:val="14"/>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center"/>
              <w:rPr>
                <w:rFonts w:hint="default" w:ascii="Times New Roman" w:hAnsi="Times New Roman" w:eastAsia="仿宋_GB2312" w:cs="Times New Roman"/>
                <w:kern w:val="24"/>
                <w:sz w:val="21"/>
                <w:szCs w:val="21"/>
              </w:rPr>
            </w:pPr>
            <w:r>
              <w:rPr>
                <w:rFonts w:hint="default" w:ascii="Times New Roman" w:hAnsi="Times New Roman" w:eastAsia="仿宋_GB2312" w:cs="Times New Roman"/>
                <w:kern w:val="24"/>
                <w:sz w:val="21"/>
                <w:szCs w:val="21"/>
              </w:rPr>
              <w:t>2023-</w:t>
            </w:r>
            <w:r>
              <w:rPr>
                <w:rFonts w:hint="default" w:ascii="Times New Roman" w:hAnsi="Times New Roman" w:cs="Times New Roman"/>
                <w:kern w:val="24"/>
                <w:sz w:val="21"/>
                <w:szCs w:val="21"/>
              </w:rPr>
              <w:t>2027</w:t>
            </w:r>
          </w:p>
        </w:tc>
        <w:tc>
          <w:tcPr>
            <w:tcW w:w="98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新建</w:t>
            </w:r>
          </w:p>
        </w:tc>
        <w:tc>
          <w:tcPr>
            <w:tcW w:w="1593"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38.8</w:t>
            </w:r>
          </w:p>
        </w:tc>
        <w:tc>
          <w:tcPr>
            <w:tcW w:w="1134"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kern w:val="24"/>
                <w:sz w:val="21"/>
                <w:szCs w:val="21"/>
              </w:rPr>
              <w:t>—</w:t>
            </w:r>
          </w:p>
        </w:tc>
      </w:tr>
    </w:tbl>
    <w:p>
      <w:pPr>
        <w:pStyle w:val="21"/>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default" w:ascii="Times New Roman" w:hAnsi="Times New Roman" w:eastAsia="仿宋_GB2312" w:cs="Times New Roman"/>
          <w:b/>
          <w:bCs/>
          <w:sz w:val="32"/>
          <w:szCs w:val="32"/>
        </w:rPr>
      </w:pPr>
    </w:p>
    <w:p>
      <w:pPr>
        <w:pStyle w:val="21"/>
        <w:keepNext w:val="0"/>
        <w:keepLines w:val="0"/>
        <w:pageBreakBefore w:val="0"/>
        <w:widowControl w:val="0"/>
        <w:numPr>
          <w:ilvl w:val="0"/>
          <w:numId w:val="0"/>
        </w:numPr>
        <w:kinsoku/>
        <w:wordWrap/>
        <w:overflowPunct/>
        <w:topLinePunct w:val="0"/>
        <w:autoSpaceDE/>
        <w:autoSpaceDN/>
        <w:bidi w:val="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表5-4</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平阳县“十四五”时期重要县道项目表</w:t>
      </w:r>
    </w:p>
    <w:tbl>
      <w:tblPr>
        <w:tblStyle w:val="16"/>
        <w:tblW w:w="95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6"/>
        <w:gridCol w:w="1184"/>
        <w:gridCol w:w="2482"/>
        <w:gridCol w:w="1466"/>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项目名称</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建设性质</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建设规模</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（亿元）</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kern w:val="24"/>
                <w:sz w:val="21"/>
                <w:szCs w:val="21"/>
              </w:rPr>
            </w:pPr>
            <w:r>
              <w:rPr>
                <w:rFonts w:hint="default" w:ascii="Times New Roman" w:hAnsi="Times New Roman" w:cs="Times New Roman"/>
                <w:kern w:val="24"/>
                <w:sz w:val="21"/>
                <w:szCs w:val="21"/>
              </w:rPr>
              <w:t>“十四五”投资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港站城大道一期（鳌江火车站至昆阳）工程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路线全长3.1公里，采用双向两车道四级公路标准，路基宽度8米，设隧道一座长2121m</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港站城大道二期（鳌江火车站至鳌江互通段）</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全长约3.799km，采用双向四车道一级公路标准，路基宽度24.5m。</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古盘山快速通道（新园路至胜利东路段建设工程）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6.7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胜利路东延段（墨城互通至横山大道）工程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1.15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瑞平苍高速至南雁荡山景区北线工程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2.23公里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瑞平苍高速至南雁荡山景区南线工程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3.41公里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228国道至昆鳌大道连接线工程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color w:val="000000"/>
                <w:kern w:val="0"/>
                <w:sz w:val="21"/>
                <w:szCs w:val="21"/>
              </w:rPr>
            </w:pPr>
            <w:r>
              <w:rPr>
                <w:rFonts w:hint="default" w:ascii="Times New Roman" w:hAnsi="Times New Roman" w:cs="Times New Roman"/>
                <w:sz w:val="21"/>
                <w:szCs w:val="21"/>
              </w:rPr>
              <w:t>一级公路标准，设置双向四车道，全长约500米，设中桥一座60米。</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萧龙线提升工程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0.68公里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麻步镇至104国道西过境连接线工程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2.0公里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85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水头滨江大道新建工程</w:t>
            </w:r>
          </w:p>
        </w:tc>
        <w:tc>
          <w:tcPr>
            <w:tcW w:w="118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48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2.8 公里</w:t>
            </w:r>
          </w:p>
        </w:tc>
        <w:tc>
          <w:tcPr>
            <w:tcW w:w="146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51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r>
    </w:tbl>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r>
        <w:rPr>
          <w:rFonts w:hint="default" w:ascii="Times New Roman" w:hAnsi="Times New Roman" w:eastAsia="仿宋_GB2312" w:cs="Times New Roman"/>
          <w:b/>
          <w:bCs/>
          <w:kern w:val="2"/>
          <w:sz w:val="32"/>
          <w:szCs w:val="32"/>
          <w:lang w:val="en-US" w:eastAsia="zh-CN" w:bidi="ar-SA"/>
        </w:rPr>
        <w:t>4．完善城市路网与周边县市城市快速通道衔接，促进昆鳌一体化发展</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加快建设昆鳌一体化交通中心以昆鳌大道、车站大道、滨江大道为发展轴线，加快推进城东新区、滨江商务区等重点片区的城市交通路网设施建设，通过交通走廊和综合交通枢纽的设置、整合，协调一体化综合交通体系，构筑一体化综合交通体系模式，打造昆鳌“15分钟交通通勤圈”，打造与瑞安、龙港、苍南打造“30分钟交通走廊带”。</w:t>
      </w:r>
    </w:p>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4791075" cy="3952875"/>
            <wp:effectExtent l="0" t="0" r="9525" b="9525"/>
            <wp:docPr id="57"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7" name="图片 55"/>
                    <pic:cNvPicPr>
                      <a:picLocks noChangeAspect="true"/>
                    </pic:cNvPicPr>
                  </pic:nvPicPr>
                  <pic:blipFill>
                    <a:blip r:embed="rId24"/>
                    <a:stretch>
                      <a:fillRect/>
                    </a:stretch>
                  </pic:blipFill>
                  <pic:spPr>
                    <a:xfrm>
                      <a:off x="0" y="0"/>
                      <a:ext cx="4791075" cy="3952875"/>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图5-1</w:t>
      </w:r>
      <w:r>
        <w:rPr>
          <w:rFonts w:hint="default"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昆鳌协同发展区示意图</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结合与万鳌大道、车站大道、东海大道等门户交通轴带，强化跨区域协同发展，对内突出平阳交通枢纽地位。对外北融市区、南连苍南、西引文泰，加快温瑞快速路延申工程、鳌江二桥工程建设，推进平阳高铁站至龙港快速路，至昆阳、水头、萧江、万全快速路，至瑞安曹村、苍南江南片区以及泰顺、文成等快速通道研究。远期谋划鳌江新城至龙港中运量轨道交通。</w:t>
      </w:r>
    </w:p>
    <w:p>
      <w:pPr>
        <w:keepNext w:val="0"/>
        <w:keepLines w:val="0"/>
        <w:pageBreakBefore w:val="0"/>
        <w:widowControl w:val="0"/>
        <w:kinsoku/>
        <w:wordWrap/>
        <w:overflowPunct/>
        <w:topLinePunct w:val="0"/>
        <w:autoSpaceDE/>
        <w:autoSpaceDN/>
        <w:bidi w:val="0"/>
        <w:adjustRightInd/>
        <w:snapToGrid w:val="0"/>
        <w:spacing w:before="157" w:beforeLines="50" w:line="240" w:lineRule="auto"/>
        <w:ind w:firstLine="0" w:firstLineChars="0"/>
        <w:jc w:val="center"/>
        <w:textAlignment w:val="auto"/>
        <w:rPr>
          <w:rFonts w:hint="default" w:ascii="Times New Roman" w:hAnsi="Times New Roman" w:cs="Times New Roman"/>
          <w:sz w:val="32"/>
          <w:szCs w:val="32"/>
        </w:rPr>
      </w:pPr>
      <w:r>
        <w:rPr>
          <w:rFonts w:hint="default" w:ascii="Times New Roman" w:hAnsi="Times New Roman" w:cs="Times New Roman"/>
          <w:sz w:val="32"/>
          <w:szCs w:val="32"/>
        </w:rPr>
        <w:drawing>
          <wp:inline distT="0" distB="0" distL="114300" distR="114300">
            <wp:extent cx="2747645" cy="1440180"/>
            <wp:effectExtent l="0" t="0" r="14605" b="7620"/>
            <wp:docPr id="58" name="图片 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8" name="图片 56"/>
                    <pic:cNvPicPr>
                      <a:picLocks noChangeAspect="true"/>
                    </pic:cNvPicPr>
                  </pic:nvPicPr>
                  <pic:blipFill>
                    <a:blip r:embed="rId25"/>
                    <a:stretch>
                      <a:fillRect/>
                    </a:stretch>
                  </pic:blipFill>
                  <pic:spPr>
                    <a:xfrm>
                      <a:off x="0" y="0"/>
                      <a:ext cx="2747645" cy="1440180"/>
                    </a:xfrm>
                    <a:prstGeom prst="rect">
                      <a:avLst/>
                    </a:prstGeom>
                    <a:noFill/>
                    <a:ln>
                      <a:noFill/>
                    </a:ln>
                  </pic:spPr>
                </pic:pic>
              </a:graphicData>
            </a:graphic>
          </wp:inline>
        </w:drawing>
      </w:r>
      <w:r>
        <w:rPr>
          <w:rFonts w:hint="default" w:ascii="Times New Roman" w:hAnsi="Times New Roman" w:cs="Times New Roman"/>
          <w:sz w:val="32"/>
          <w:szCs w:val="32"/>
        </w:rPr>
        <w:drawing>
          <wp:inline distT="0" distB="0" distL="114300" distR="114300">
            <wp:extent cx="2533650" cy="1440180"/>
            <wp:effectExtent l="0" t="0" r="0" b="7620"/>
            <wp:docPr id="59" name="图片 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9" name="图片 57"/>
                    <pic:cNvPicPr>
                      <a:picLocks noChangeAspect="true"/>
                    </pic:cNvPicPr>
                  </pic:nvPicPr>
                  <pic:blipFill>
                    <a:blip r:embed="rId26"/>
                    <a:stretch>
                      <a:fillRect/>
                    </a:stretch>
                  </pic:blipFill>
                  <pic:spPr>
                    <a:xfrm>
                      <a:off x="0" y="0"/>
                      <a:ext cx="2533650" cy="1440180"/>
                    </a:xfrm>
                    <a:prstGeom prst="rect">
                      <a:avLst/>
                    </a:prstGeom>
                    <a:noFill/>
                    <a:ln>
                      <a:noFill/>
                    </a:ln>
                  </pic:spPr>
                </pic:pic>
              </a:graphicData>
            </a:graphic>
          </wp:inline>
        </w:drawing>
      </w: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ind w:left="0" w:firstLine="0" w:firstLineChars="0"/>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图5-2平阳县与周边县市道路网衔接图</w:t>
      </w:r>
    </w:p>
    <w:p>
      <w:pPr>
        <w:keepNext w:val="0"/>
        <w:keepLines w:val="0"/>
        <w:pageBreakBefore w:val="0"/>
        <w:widowControl w:val="0"/>
        <w:kinsoku/>
        <w:wordWrap/>
        <w:overflowPunct/>
        <w:topLinePunct w:val="0"/>
        <w:autoSpaceDE/>
        <w:autoSpaceDN/>
        <w:bidi w:val="0"/>
        <w:adjustRightInd/>
        <w:spacing w:line="56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5．推动西部地区美丽公路建设。</w:t>
      </w:r>
    </w:p>
    <w:p>
      <w:pPr>
        <w:keepNext w:val="0"/>
        <w:keepLines w:val="0"/>
        <w:pageBreakBefore w:val="0"/>
        <w:widowControl w:val="0"/>
        <w:kinsoku/>
        <w:wordWrap/>
        <w:overflowPunct/>
        <w:topLinePunct w:val="0"/>
        <w:autoSpaceDE/>
        <w:autoSpaceDN/>
        <w:bidi w:val="0"/>
        <w:adjustRightInd/>
        <w:spacing w:line="560" w:lineRule="exact"/>
        <w:ind w:firstLine="560"/>
        <w:textAlignment w:val="auto"/>
        <w:rPr>
          <w:rFonts w:hint="default" w:ascii="Times New Roman" w:hAnsi="Times New Roman" w:cs="Times New Roman"/>
          <w:sz w:val="32"/>
          <w:szCs w:val="32"/>
        </w:rPr>
      </w:pPr>
      <w:r>
        <w:rPr>
          <w:rFonts w:hint="default" w:ascii="Times New Roman" w:hAnsi="Times New Roman" w:cs="Times New Roman"/>
          <w:sz w:val="32"/>
          <w:szCs w:val="32"/>
        </w:rPr>
        <w:t>扎实推进美丽经济交通走廊建设，全面实行县、乡镇、村三级道路路长制，提升城乡运输服务一体化水平。持续深化四好农村路建设，因地制宜、有序推进乡道提级改造、村道单车道拓宽改造以及县乡村联网路建设，基本实现有条件的较大自然村通硬化公路以及边远山村通达公路。推进美丽公路建设，改善乡村旅游交通基础设施条件，支持乡村旅游发展。加快推进绿道网建设，实现省级绿道 3 号线县域内绿道 48.9 公里贯通，省级绿道 8 号线县域内绿道 82.3 公里贯通。持续推进农村公路安保工程、危桥改造等，改善安全通行条件，促进农村公路建管养运协调发展。到2025年基本实现有条件的较大自然村通硬化公路以及边远山村通达公路。推进美丽公路建设，改善乡村旅游交通基础设施条件，支持乡村旅游发展。持续推进农村公路安保工程、危桥改造等，改善安全通行条件，促进农村公路建管养运协调发展。</w:t>
      </w:r>
    </w:p>
    <w:p>
      <w:pPr>
        <w:pStyle w:val="2"/>
        <w:rPr>
          <w:rFonts w:hint="default" w:ascii="Times New Roman" w:hAnsi="Times New Roman" w:cs="Times New Roman"/>
        </w:rPr>
      </w:pPr>
    </w:p>
    <w:p>
      <w:pPr>
        <w:pStyle w:val="21"/>
        <w:keepNext w:val="0"/>
        <w:keepLines w:val="0"/>
        <w:pageBreakBefore w:val="0"/>
        <w:widowControl w:val="0"/>
        <w:numPr>
          <w:ilvl w:val="0"/>
          <w:numId w:val="0"/>
        </w:numPr>
        <w:kinsoku/>
        <w:wordWrap/>
        <w:overflowPunct/>
        <w:topLinePunct w:val="0"/>
        <w:autoSpaceDE/>
        <w:autoSpaceDN/>
        <w:bidi w:val="0"/>
        <w:adjustRightInd/>
        <w:spacing w:line="560" w:lineRule="exact"/>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表5-3</w:t>
      </w:r>
      <w:r>
        <w:rPr>
          <w:rFonts w:hint="default" w:ascii="Times New Roman" w:hAnsi="Times New Roman" w:eastAsia="仿宋_GB2312" w:cs="Times New Roman"/>
          <w:b/>
          <w:bCs/>
          <w:sz w:val="32"/>
          <w:szCs w:val="32"/>
          <w:lang w:val="en-US" w:eastAsia="zh-CN"/>
        </w:rPr>
        <w:t xml:space="preserve">  </w:t>
      </w:r>
      <w:r>
        <w:rPr>
          <w:rFonts w:hint="default" w:ascii="Times New Roman" w:hAnsi="Times New Roman" w:eastAsia="仿宋_GB2312" w:cs="Times New Roman"/>
          <w:b/>
          <w:bCs/>
          <w:sz w:val="32"/>
          <w:szCs w:val="32"/>
        </w:rPr>
        <w:t>平阳县“十四五”时期重要农村公路建设项目表</w:t>
      </w:r>
    </w:p>
    <w:tbl>
      <w:tblPr>
        <w:tblStyle w:val="16"/>
        <w:tblW w:w="8901" w:type="dxa"/>
        <w:jc w:val="center"/>
        <w:tblLayout w:type="fixed"/>
        <w:tblCellMar>
          <w:top w:w="0" w:type="dxa"/>
          <w:left w:w="0" w:type="dxa"/>
          <w:bottom w:w="0" w:type="dxa"/>
          <w:right w:w="0" w:type="dxa"/>
        </w:tblCellMar>
      </w:tblPr>
      <w:tblGrid>
        <w:gridCol w:w="1800"/>
        <w:gridCol w:w="1207"/>
        <w:gridCol w:w="2840"/>
        <w:gridCol w:w="1359"/>
        <w:gridCol w:w="1695"/>
      </w:tblGrid>
      <w:tr>
        <w:tblPrEx>
          <w:tblCellMar>
            <w:top w:w="0" w:type="dxa"/>
            <w:left w:w="0" w:type="dxa"/>
            <w:bottom w:w="0" w:type="dxa"/>
            <w:right w:w="0" w:type="dxa"/>
          </w:tblCellMar>
        </w:tblPrEx>
        <w:trPr>
          <w:trHeight w:val="558"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项目名称</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建设性质</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建设规模</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总投资（亿元）</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黑体" w:cs="Times New Roman"/>
                <w:kern w:val="24"/>
                <w:sz w:val="21"/>
                <w:szCs w:val="21"/>
              </w:rPr>
            </w:pPr>
            <w:r>
              <w:rPr>
                <w:rFonts w:hint="default" w:ascii="Times New Roman" w:hAnsi="Times New Roman" w:eastAsia="黑体" w:cs="Times New Roman"/>
                <w:kern w:val="24"/>
                <w:sz w:val="21"/>
                <w:szCs w:val="21"/>
              </w:rPr>
              <w:t>“十四五”投资</w:t>
            </w:r>
          </w:p>
        </w:tc>
      </w:tr>
      <w:tr>
        <w:tblPrEx>
          <w:tblCellMar>
            <w:top w:w="0" w:type="dxa"/>
            <w:left w:w="0" w:type="dxa"/>
            <w:bottom w:w="0" w:type="dxa"/>
            <w:right w:w="0" w:type="dxa"/>
          </w:tblCellMar>
        </w:tblPrEx>
        <w:trPr>
          <w:trHeight w:val="698"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平阳县蒲山至满田农村道路提升工程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7.78公里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1.27</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0.37</w:t>
            </w:r>
          </w:p>
        </w:tc>
      </w:tr>
      <w:tr>
        <w:tblPrEx>
          <w:tblCellMar>
            <w:top w:w="0" w:type="dxa"/>
            <w:left w:w="0" w:type="dxa"/>
            <w:bottom w:w="0" w:type="dxa"/>
            <w:right w:w="0" w:type="dxa"/>
          </w:tblCellMar>
        </w:tblPrEx>
        <w:trPr>
          <w:trHeight w:val="895"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平阳县水头镇鹏山村至新溪村农村道路改造提升工程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4.08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0.82</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平阳县顺溪镇岭后村至顺溪村农村道路提升改造工程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续建</w:t>
            </w:r>
          </w:p>
        </w:tc>
        <w:tc>
          <w:tcPr>
            <w:tcW w:w="2840"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四级公路 10.08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0.89</w:t>
            </w:r>
          </w:p>
        </w:tc>
        <w:tc>
          <w:tcPr>
            <w:tcW w:w="1695"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0.25</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环南雁荡山景区道路工程一期(青街乡青街村至脑村乡上仕浪村农村道路提升改造工程)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kern w:val="24"/>
                <w:sz w:val="21"/>
                <w:szCs w:val="21"/>
              </w:rPr>
            </w:pPr>
            <w:r>
              <w:rPr>
                <w:rFonts w:hint="default" w:ascii="Times New Roman" w:hAnsi="Times New Roman" w:cs="Times New Roman"/>
                <w:sz w:val="21"/>
                <w:szCs w:val="21"/>
              </w:rPr>
              <w:t>三级公路 9.6公里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6.69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6.69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平阳苔湖至维新农村道路提升改造工程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 9.4 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0.8</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平阳闹村至联山农村道路提升改造工程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四级公路12公里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平阳鹤溪至蔡垟农村道路提升改造工程</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四级公路11.2公里</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0.9</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0.9</w:t>
            </w:r>
          </w:p>
        </w:tc>
      </w:tr>
      <w:tr>
        <w:tblPrEx>
          <w:tblCellMar>
            <w:top w:w="0" w:type="dxa"/>
            <w:left w:w="0" w:type="dxa"/>
            <w:bottom w:w="0" w:type="dxa"/>
            <w:right w:w="0" w:type="dxa"/>
          </w:tblCellMar>
        </w:tblPrEx>
        <w:trPr>
          <w:trHeight w:val="512" w:hRule="atLeast"/>
          <w:jc w:val="center"/>
        </w:trPr>
        <w:tc>
          <w:tcPr>
            <w:tcW w:w="180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四好农村路</w:t>
            </w:r>
          </w:p>
        </w:tc>
        <w:tc>
          <w:tcPr>
            <w:tcW w:w="1207"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cs="Times New Roman"/>
                <w:sz w:val="21"/>
                <w:szCs w:val="21"/>
              </w:rPr>
              <w:t>新建</w:t>
            </w:r>
          </w:p>
        </w:tc>
        <w:tc>
          <w:tcPr>
            <w:tcW w:w="2840" w:type="dxa"/>
            <w:tcBorders>
              <w:top w:val="single" w:color="000000" w:sz="8" w:space="0"/>
              <w:left w:val="single" w:color="000000" w:sz="8" w:space="0"/>
              <w:bottom w:val="single" w:color="000000" w:sz="8" w:space="0"/>
              <w:right w:val="single" w:color="000000" w:sz="8" w:space="0"/>
            </w:tcBorders>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农村公路新改建、养护、危病桥隧改造、安保、公交一体化、美丽公路等工程</w:t>
            </w:r>
          </w:p>
        </w:tc>
        <w:tc>
          <w:tcPr>
            <w:tcW w:w="1359"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10</w:t>
            </w:r>
          </w:p>
        </w:tc>
        <w:tc>
          <w:tcPr>
            <w:tcW w:w="1695" w:type="dxa"/>
            <w:tcBorders>
              <w:top w:val="single" w:color="000000" w:sz="8" w:space="0"/>
              <w:left w:val="single" w:color="000000" w:sz="8" w:space="0"/>
              <w:bottom w:val="single" w:color="000000" w:sz="8" w:space="0"/>
              <w:right w:val="single" w:color="000000" w:sz="8" w:space="0"/>
            </w:tcBorders>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rPr>
                <w:rFonts w:hint="default" w:ascii="Times New Roman" w:hAnsi="Times New Roman" w:cs="Times New Roman"/>
                <w:kern w:val="24"/>
                <w:sz w:val="21"/>
                <w:szCs w:val="21"/>
              </w:rPr>
            </w:pPr>
            <w:r>
              <w:rPr>
                <w:rFonts w:hint="default" w:ascii="Times New Roman" w:hAnsi="Times New Roman" w:cs="Times New Roman"/>
                <w:sz w:val="21"/>
                <w:szCs w:val="21"/>
              </w:rPr>
              <w:t>10</w:t>
            </w:r>
          </w:p>
        </w:tc>
      </w:tr>
    </w:tbl>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6．推动平阳港区建设，助力运输结构优化调整</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围绕碳达峰目标与碳中和愿景，以打造绿色低碳交通为主线，紧抓交通领域减排核心，推进运输结构优化调整。不断推进大宗货物及中长距离货物运输向铁路和水运有序转移。加强码头作业和船闸联合调度等智慧化管理，促进水路运输降本增效。</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依托平阳港区，向上争取平阳港纳入上位规划获得项目建设支持，推动水运复兴；远期启动平阳临港经济区建设，与瑞安共同推进争取设立沿海铁路平阳港货运支线，建立“港铁联运”大通道。</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3" w:name="_Toc102660582"/>
      <w:r>
        <w:rPr>
          <w:rFonts w:hint="default" w:ascii="Times New Roman" w:hAnsi="Times New Roman" w:eastAsia="楷体_GB2312" w:cs="Times New Roman"/>
          <w:b w:val="0"/>
          <w:bCs w:val="0"/>
          <w:sz w:val="32"/>
          <w:szCs w:val="32"/>
        </w:rPr>
        <w:t>任务2：构筑换乘便捷、运转高效的客运服务体系</w:t>
      </w:r>
      <w:bookmarkEnd w:id="63"/>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1．加快客运枢纽场站建设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以枢纽强县，提升城市的区域辐射能级</w:t>
      </w:r>
      <w:r>
        <w:rPr>
          <w:rFonts w:hint="default" w:ascii="Times New Roman" w:hAnsi="Times New Roman" w:eastAsia="仿宋_GB2312" w:cs="Times New Roman"/>
          <w:sz w:val="32"/>
          <w:szCs w:val="32"/>
        </w:rPr>
        <w:t>。打造“一体化、零换乘”综合交通枢纽，统筹利用地上地下空间，打造多种运输方式间无缝对接的综合交通枢纽，强化枢纽与市域综合交通系统的高效衔接。完善枢纽场站配套建设，提升客运站增值服务能力，拓展商业、旅游集散、邮政、物流等服务功能，打造综合客运场站设施，实现站商融合。保障机动车和非机动车停车场地，规范枢纽场站标志标识。</w:t>
      </w:r>
      <w:r>
        <w:rPr>
          <w:rFonts w:hint="default" w:ascii="Times New Roman" w:hAnsi="Times New Roman" w:eastAsia="仿宋_GB2312" w:cs="Times New Roman"/>
          <w:b/>
          <w:bCs/>
          <w:sz w:val="32"/>
          <w:szCs w:val="32"/>
        </w:rPr>
        <w:t>探索TOD模式下枢纽站城一体化发展</w:t>
      </w:r>
      <w:r>
        <w:rPr>
          <w:rFonts w:hint="default" w:ascii="Times New Roman" w:hAnsi="Times New Roman" w:eastAsia="仿宋_GB2312" w:cs="Times New Roman"/>
          <w:sz w:val="32"/>
          <w:szCs w:val="32"/>
        </w:rPr>
        <w:t>，近期围绕平阳高铁站的落地布局，引入站城一体化设计，在高铁站上方布局大型商业设施、办公等功能，打造城市发展新标地，围绕交通核心功能，立足高铁枢纽，对枢纽周边土地进行高密度有序开发，以商贸物流、休闲旅游、办公会议等为主要产业，打造高铁小镇。远期逐步推进鳌江综合交通枢纽、昆阳客运中心、滨海客运枢纽等城市客运枢纽站城一体化发展，同时为温州城轨S3线二期（平阳段）综合开发预留空间，促进城市、土地和交通融合集约发展。下土地综合开发新模式。</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2．提质提升公交客运服务水平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实施公交优先管控，充分利用道路资源，保障公交路权。重点在车站大道、平海大道、昆鳌大道推进公交专用道和公交专用信号机试点。加快推进道路信息化改造工程，推动昆鳌大道、老G104国道道路信息化改造，推广建设新式公交候车站。加快推进城乡公交站台改造工程。</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进一步优化公交线网布局，打造三级一体化公交网络，结合5G、大数据等分析手段，优化调整公交线路走向；加快公交场站建设，推进建成五级公交场站：综合客运枢纽站、公交枢纽（城市、城乡枢纽）、首末站（城市、乡镇运输服务站）、停保场，推行“一镇一枢纽，一村一场站”，试点打造镇级枢纽及村级首末站示范场站；拓展多元化辅助公交服务，与常规公交融合发展，开通与主要客运枢纽衔接的旅游公交专线与定制化公交服务，鼓励发展15座以下社区微循环巴士，在昆阳和鳌江各选一处作为示范线路。</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3．积极拓展交旅融合服务发展</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客运集约化创新化发展，推进建立三级旅游集散中心，在高铁站、汽车客运站、机场等定制旅游线路，实现交通枢纽与主要景区的直通直达。开发“车票+门票+住宿”等融合产品，创新性开行一批有吸引力的复合型精品旅游线路。推进西部地区“美丽公路”建设，培育壮大“美丽交通+”特色经济、乡村旅游、历史人文、休闲体育、养生健康等新业态、新模式，打造美丽经济交通走廊。优化旅游集散中心通往热点旅游景区的公路和航线，加快旅游景区与高速公路连接线建设，升级扩容和快速化提升旅游景区公路。</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4" w:name="_Toc102660583"/>
      <w:r>
        <w:rPr>
          <w:rFonts w:hint="default" w:ascii="Times New Roman" w:hAnsi="Times New Roman" w:eastAsia="楷体_GB2312" w:cs="Times New Roman"/>
          <w:b w:val="0"/>
          <w:bCs w:val="0"/>
          <w:sz w:val="32"/>
          <w:szCs w:val="32"/>
        </w:rPr>
        <w:t>任务3：打造集约整合、协调衔接的货运服务体系</w:t>
      </w:r>
      <w:bookmarkEnd w:id="64"/>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1．推动货运基础设施建设，锚固区域货运枢纽</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资源配置和政策指引，促进货运向集约化、规模化发展。构建形成层级合理、功能明确的物流枢纽体系，力争到“十四五”期末打造“枢纽+网络+节点”的三级货运体系，加快布局形成“1+4+N”的综合货运枢纽布局。一个区域综合物流园区，结合滨海新区制造产业集群建设，打造辐射浙南地区的综合物流园，包含中转集运（联运）、仓储配送、流通加工、综合服务和后勤保障。</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充分发挥本地区产业特色，四个片区物流中心，打造滨海货运枢纽、万全物流中心、萧江中部物流中心、水头物流中心等一批特色物流产业集聚园区。加强物流园区配套基础设施及集疏运体系建设，协调推进主要货运场站与干线公路、铁路衔接，同时加快周边相关配套智能仓储、保管、车辆维修、综合服务设施等设施建设，为园区入驻企业提供优质服务，促进产业聚集、物流服务链条完善的物流功能区块。</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2．推动多式联运模式发展，助力运输结构调整优化</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重点加快建设以甬台温高速复线为主体的高速公路集疏运系统，加强高速公路互通与平阳港区间的疏港交通建设。同时推进“水水联运” 、形成全面、协调、便捷的多式联运系统框架。</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3．完善城市物流配送体系建设，解决最后一公里</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完善功能明确、衔接有序的城市物流配送体系，构建以货运枢纽、公共配送中心、末端公共配送站为主体的三级配送网络；鼓励大型社区、产业集聚区以及主要商圈建设智能快递柜等末端投递设备，推动服务网点设施共建共享；推动配送模式创新，统筹配送供给资源，发展共同配送、统一配送、夜间配送、分时配送等多种集约化配送模式。</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4．统筹城市-农村物流协调发展，构筑高质量物流体系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四好农村路建设，推动完善农村物流配送网络，构建以县级中转、乡镇分拨、村级配送农村物流配送体系；加快完善农村物流网络体系，加快推进农村物流网络节点建设，实现农村物流网络节点多站合一、资源共享。创新农村物流模式，“互联网+农村物流”，依托农村电商平台，打造线上线下一体化农村物流模式；鼓励发展新农村物流配送模式，依托农村电商平台，打造线上线下一体化的农村物流模式，探索无人配送等先进智慧物流配送模式。</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5" w:name="_Toc102660584"/>
      <w:r>
        <w:rPr>
          <w:rFonts w:hint="default" w:ascii="Times New Roman" w:hAnsi="Times New Roman" w:eastAsia="楷体_GB2312" w:cs="Times New Roman"/>
          <w:b w:val="0"/>
          <w:bCs w:val="0"/>
          <w:sz w:val="32"/>
          <w:szCs w:val="32"/>
        </w:rPr>
        <w:t>任务4：搭建创新融合多场景应用的智慧交通体系</w:t>
      </w:r>
      <w:bookmarkEnd w:id="65"/>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1．打造全方位一体化交通运输设施感知网。</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推动5G技术、图像识别、大数据治理等信息技术在公路基础设施基础上规模化、网络化应用。推动县公路、铁路、水路等重点路段，交通枢纽、场站等重要节点的交通感知网络全覆盖，支撑交通空间信息服务发布和服务应用。重点提高平阳高速公路、航道、港口、桥梁、隧道、边坡等重要交通设施节点的交通感知网络覆盖。推动交通感知网络与交通基础设施、载运工具同步规划、同步建设、同步使用，增强交通运输基础设施、载运工具多维监测、智能网联、精准管控、协同服务能力。加强交通基础设施状态实时监测。</w:t>
      </w:r>
    </w:p>
    <w:p>
      <w:pPr>
        <w:pStyle w:val="20"/>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cs="Times New Roman"/>
          <w:b/>
          <w:bCs/>
          <w:sz w:val="32"/>
          <w:szCs w:val="32"/>
          <w:lang w:val="en-US" w:eastAsia="zh-CN"/>
        </w:rPr>
        <w:t>2</w:t>
      </w:r>
      <w:r>
        <w:rPr>
          <w:rFonts w:hint="default" w:ascii="Times New Roman" w:hAnsi="Times New Roman" w:cs="Times New Roman"/>
          <w:b/>
          <w:bCs/>
          <w:sz w:val="32"/>
          <w:szCs w:val="32"/>
        </w:rPr>
        <w:t>．</w:t>
      </w:r>
      <w:r>
        <w:rPr>
          <w:rFonts w:hint="default" w:ascii="Times New Roman" w:hAnsi="Times New Roman" w:eastAsia="仿宋_GB2312" w:cs="Times New Roman"/>
          <w:b/>
          <w:bCs/>
          <w:sz w:val="32"/>
          <w:szCs w:val="32"/>
        </w:rPr>
        <w:t>推动交通信息平台智慧化建设</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统筹建设交通综合信息服务平台，融合各独立平台服务信息，实现交通信息“一屏统览”，交通政务处理“一网通办”；建立健全平阳县交通信息发布平台，多方式全数据源实时发布路况、天气、停车位、公交到站、出行感受等综合交通出行及引导信息；加快公交信息化网络线上平台建设，实现公交线路信息、车辆到站预报、旅游信息在线发布，提升公交规划、监管、运营调度和信息发布智慧化水平。</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3．结合新基建推动交通设施智慧化，积极推进智慧公路试点</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依托物联网、5G、大数据等技术手段，推动交通基础设施数字化智慧化，实现基础设施数据实时收集，动态化管理。推进甬台温高速、甬台温高速复线、温州绕城高速智慧化改造工程，结合多样、开放的运营管理与服务模式，为人和货物的快速运输提供可靠的网络化通行服务，为车车/车路交互提供自由的通信管道服务，为应急事件提供全时可响应的应急服务，为出行者提供精细化、自主化的出行服务。重点开展智慧隧道试点工程，打造可复制、推广的智慧高速建设样板工程，促进形成新兴产业。</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6" w:name="_Toc102660585"/>
      <w:r>
        <w:rPr>
          <w:rFonts w:hint="default" w:ascii="Times New Roman" w:hAnsi="Times New Roman" w:eastAsia="楷体_GB2312" w:cs="Times New Roman"/>
          <w:b w:val="0"/>
          <w:bCs w:val="0"/>
          <w:sz w:val="32"/>
          <w:szCs w:val="32"/>
        </w:rPr>
        <w:t>任务5：建设环境友好的绿色安全交通体系</w:t>
      </w:r>
      <w:bookmarkEnd w:id="66"/>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1．加快推进高效、绿色道路运输装备升级改造</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加快实现公交车、出租车以及货车绿色化，加大新能源设施设备普及宣传力度，鼓励发展与更新新能源车型的出租车及货车应为。积极争取省市级相关配套资金支持政策，制定并实施新能源汽车差异化管理政策。逐步建立起“集约、高效、绿色、智能”的城市货运配送服务体系。力争到2025年实现新能源公交车及新能源出租车占比提高至80%以上，城市营运货车节能环保型汽车占比提高至50%以上。加快城市内、物流产业园区、高速公路、重要国省道干线沿线服务区/加油站，旅游景区充电桩设备建设更新；推动平阳港区船舶设备清洁化，推进 LNG、氢燃料、生物电池、锂电池等清洁能源在船舶领域应用，加快推进船舶密集区域岸电设施建设和船舶受电设施标准化改造，到2025年实现五类专业化码头岸电设施覆盖率100%。</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2．积极促进资源节约集约利用，打造绿色交通体系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把生态环境保护理念贯穿到交通项目“建管养护”全生命周期管理，全面推进交通基础设施生态绿色发展。按照“统筹规划、合理布局、集约高效”原则，加强线位资源保护，综合利用通道资源。提倡公路与铁路、高速公路与普通公路共用线位，推进复合通道建设。改扩建公路充分发挥原通道资源作用，高效利用原有设施。全面推进施工材料、废旧材料再生和综合利用，促进废弃物循环再生利用，构建“资源－产品－再生资源”的循环利用系统，沥青路面旧料实现“零废弃”。推进综合供能服务站建设。构建交通能源供给综合集约新模式，推进集电能、天然气、加氢及清洁油品等多种供给服务功能为一体的综合供能服务站建设布局。</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确定与国土空间规划“三条控制线”的关系，做好线位、重要节点的空间预留，严守生态底线，注重无害化穿越；根据城镇开发强度，合理确定路网规模和密度；严守永久基本农田底线，尽可能避让。积极推进生态选线、生态环保设计、生态工程建设，降低交通设施对生态环境的影响。加强交通全过程环境保护监管，研究制定监督、考核及责任追究制度。</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3．强化交通运行秩序管理，健全交通应急管理体系</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提升设施设备安全保障能力、完善安全防控体系、强化应急救援能力，维护行业运行安全，强化军民融合，支撑国家总体安全。加强安全生产形势分析研判，建立和完善与气象、应急管理、自然资源等相关部门的联系协调机制，提前部署预警预防工作，做好信息发布、新闻宣传、舆论引导和应急准备。加强隐患排查治理，集中开展专项整治行动。完善综合运输应急预案体系框架，紧密联动公安、消防、医疗救护等相关部门，共享应急支援，降低突发事故的危害。强化运输行业安全监管，预防运输安全事故。加强安全畅通和应急处置系统建设，建立健全重点营运车辆的监测监控系统，重点跟踪“两客一危”车辆（长途客车、客运包车和危险货物运输车）和重点营运货车的安全技术状况。规范危化品运输车辆闭环安全管理，加快推进建设平阳县危化品公共停车场。</w:t>
      </w:r>
    </w:p>
    <w:p>
      <w:pPr>
        <w:pStyle w:val="5"/>
        <w:keepNext w:val="0"/>
        <w:keepLines w:val="0"/>
        <w:pageBreakBefore w:val="0"/>
        <w:widowControl w:val="0"/>
        <w:numPr>
          <w:ilvl w:val="0"/>
          <w:numId w:val="0"/>
        </w:numPr>
        <w:kinsoku/>
        <w:wordWrap/>
        <w:overflowPunct/>
        <w:topLinePunct w:val="0"/>
        <w:autoSpaceDE/>
        <w:autoSpaceDN/>
        <w:bidi w:val="0"/>
        <w:adjustRightInd/>
        <w:snapToGrid w:val="0"/>
        <w:spacing w:beforeLines="0" w:afterLines="0" w:line="560" w:lineRule="exact"/>
        <w:ind w:left="0" w:firstLine="640" w:firstLineChars="200"/>
        <w:textAlignment w:val="auto"/>
        <w:rPr>
          <w:rFonts w:hint="default" w:ascii="Times New Roman" w:hAnsi="Times New Roman" w:eastAsia="楷体_GB2312" w:cs="Times New Roman"/>
          <w:b w:val="0"/>
          <w:bCs w:val="0"/>
          <w:sz w:val="32"/>
          <w:szCs w:val="32"/>
        </w:rPr>
      </w:pPr>
      <w:bookmarkStart w:id="67" w:name="_Toc102660586"/>
      <w:r>
        <w:rPr>
          <w:rFonts w:hint="default" w:ascii="Times New Roman" w:hAnsi="Times New Roman" w:eastAsia="楷体_GB2312" w:cs="Times New Roman"/>
          <w:b w:val="0"/>
          <w:bCs w:val="0"/>
          <w:sz w:val="32"/>
          <w:szCs w:val="32"/>
        </w:rPr>
        <w:t>任务6：加强交通行业管理建设</w:t>
      </w:r>
      <w:bookmarkEnd w:id="67"/>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1</w:t>
      </w:r>
      <w:r>
        <w:rPr>
          <w:rFonts w:hint="default" w:ascii="Times New Roman" w:hAnsi="Times New Roman" w:cs="Times New Roman"/>
          <w:b/>
          <w:bCs/>
          <w:sz w:val="32"/>
          <w:szCs w:val="32"/>
        </w:rPr>
        <w:t>．</w:t>
      </w:r>
      <w:r>
        <w:rPr>
          <w:rFonts w:hint="default" w:ascii="Times New Roman" w:hAnsi="Times New Roman" w:eastAsia="仿宋_GB2312" w:cs="Times New Roman"/>
          <w:b/>
          <w:bCs/>
          <w:sz w:val="32"/>
          <w:szCs w:val="32"/>
        </w:rPr>
        <w:t>持续推进行业改革</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改革为根本动力，深化法治政府部门建设，深化行业改革，营造良好的交通发展环境。按照全省交通运输综合改革要求，推进改革事项和体制机制突破，优化社会营商环境，深化"最多跑一次"改革。按照“放管服”要求，持续推进简政放权，减少办事环节，整合办事材料，缩短办事时限，减免办事费用，优化办事流程，提高办事效率，推动运输领域“一窗通办”、“多证合一”等服务升级。提升互联网+政务服务水平，加快推进交通数字化转型，探索自动审批、信用审批等审批模式，优化网上申报、网上流转、网上审查、网上办结等流程。</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bookmarkStart w:id="68" w:name="_Toc54903037"/>
      <w:bookmarkStart w:id="69" w:name="_Toc54803357"/>
      <w:r>
        <w:rPr>
          <w:rFonts w:hint="default" w:ascii="Times New Roman" w:hAnsi="Times New Roman" w:eastAsia="仿宋_GB2312" w:cs="Times New Roman"/>
          <w:b/>
          <w:bCs/>
          <w:sz w:val="32"/>
          <w:szCs w:val="32"/>
        </w:rPr>
        <w:t>2．强化人才队伍建设</w:t>
      </w:r>
      <w:bookmarkEnd w:id="68"/>
      <w:bookmarkEnd w:id="69"/>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提高领导水平和管理能力为核心，培养造就一支富有创新活力和奋发有为的高素质管理人才。整合利用交通运输系统和社会教育培训资源，加强干部政治理论、法律、管理、现代经济、交通专业知识等培训，提升领导干部履职能力。积极培养和引进公路、港航、运输、安全应急、行政执法、信息化等专业领域的人才，提高业务人员的学习研究、战略谋划、综合协调、专业管理能力，打造高素质、专业化的部门队伍。加大对基层人员的技术培训，提高基层管理机构规范化和专业化水平。完善干部综合考核评价体系，全面考核干部的德才表现和工作实绩，实现奖优罚劣、奖勤罚懒，推动干部队伍结构优化、能力提升、作风转变、活力增强。</w:t>
      </w:r>
    </w:p>
    <w:p>
      <w:pPr>
        <w:keepNext w:val="0"/>
        <w:keepLines w:val="0"/>
        <w:pageBreakBefore w:val="0"/>
        <w:widowControl w:val="0"/>
        <w:kinsoku/>
        <w:wordWrap/>
        <w:overflowPunct/>
        <w:topLinePunct w:val="0"/>
        <w:autoSpaceDE/>
        <w:autoSpaceDN/>
        <w:bidi w:val="0"/>
        <w:adjustRightInd/>
        <w:snapToGrid w:val="0"/>
        <w:spacing w:line="560" w:lineRule="exact"/>
        <w:ind w:left="0" w:firstLine="642" w:firstLineChars="200"/>
        <w:textAlignment w:val="auto"/>
        <w:rPr>
          <w:rFonts w:hint="default" w:ascii="Times New Roman" w:hAnsi="Times New Roman" w:eastAsia="仿宋_GB2312" w:cs="Times New Roman"/>
          <w:b/>
          <w:bCs/>
          <w:sz w:val="32"/>
          <w:szCs w:val="32"/>
        </w:rPr>
      </w:pPr>
      <w:bookmarkStart w:id="70" w:name="_Toc54903038"/>
      <w:bookmarkStart w:id="71" w:name="_Toc54803358"/>
      <w:r>
        <w:rPr>
          <w:rFonts w:hint="default" w:ascii="Times New Roman" w:hAnsi="Times New Roman" w:eastAsia="仿宋_GB2312" w:cs="Times New Roman"/>
          <w:b/>
          <w:bCs/>
          <w:sz w:val="32"/>
          <w:szCs w:val="32"/>
        </w:rPr>
        <w:t>3．引领建设清廉交通</w:t>
      </w:r>
      <w:bookmarkEnd w:id="70"/>
      <w:bookmarkEnd w:id="71"/>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强化廉政安全，深化警示教育，将清廉交通建设全面覆盖交通权力事项，紧盯重点领域和高发问题，推动常态化廉政监管。完善清廉交通制度体系。聚焦权力集中、资金密集、资源集聚等高风险领域，加强清廉交通思想教育。建立健全跟踪评估机制，加强共性特征、典型案例、主要风险点等综合研判和专业指导，组织开展实施效果评价。强化用人、工程建设、资金等八大重点领域的廉政监管，提高行业廉政建设和廉洁治理水平。强化审计督察，完善防控体系，从严执纪问责，严格公开程序，拓宽公开领域，增加公开内容，畅通互动渠道，打造阳光工程、廉洁工程。</w:t>
      </w:r>
    </w:p>
    <w:p>
      <w:pPr>
        <w:rPr>
          <w:rFonts w:hint="default" w:ascii="Times New Roman" w:hAnsi="Times New Roman" w:eastAsia="仿宋_GB2312" w:cs="Times New Roman"/>
          <w:sz w:val="32"/>
          <w:szCs w:val="32"/>
        </w:rPr>
      </w:pPr>
      <w:bookmarkStart w:id="72" w:name="_Toc57386000"/>
      <w:bookmarkStart w:id="73" w:name="_Toc102660587"/>
      <w:bookmarkStart w:id="74" w:name="_Toc61287337"/>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0" w:firstLineChars="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六、环境影响评价</w:t>
      </w:r>
      <w:bookmarkEnd w:id="72"/>
      <w:bookmarkEnd w:id="73"/>
      <w:bookmarkEnd w:id="74"/>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本规划坚持节能环保、绿色发展原则，将可持续发展理念贯彻到全县交通基础设施建设、运输生产、行业管理的各领域和全过程，全面提高资源利用效率，降低污染排放水平。</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75" w:name="_Toc57386001"/>
      <w:bookmarkStart w:id="76" w:name="_Toc457293619"/>
      <w:bookmarkStart w:id="77" w:name="_Toc61287338"/>
      <w:bookmarkStart w:id="78" w:name="_Toc457322547"/>
      <w:bookmarkStart w:id="79" w:name="_Toc457894800"/>
      <w:bookmarkStart w:id="80" w:name="_Toc441236017"/>
      <w:bookmarkStart w:id="81" w:name="_Toc102660588"/>
      <w:r>
        <w:rPr>
          <w:rFonts w:hint="default" w:ascii="Times New Roman" w:hAnsi="Times New Roman" w:eastAsia="楷体_GB2312" w:cs="Times New Roman"/>
          <w:b w:val="0"/>
          <w:bCs w:val="0"/>
          <w:kern w:val="2"/>
          <w:sz w:val="32"/>
          <w:szCs w:val="32"/>
          <w:lang w:val="en-US" w:eastAsia="zh-CN" w:bidi="ar-SA"/>
        </w:rPr>
        <w:t>（一）规划实施的环境影响分析</w:t>
      </w:r>
      <w:bookmarkEnd w:id="75"/>
      <w:bookmarkEnd w:id="76"/>
      <w:bookmarkEnd w:id="77"/>
      <w:bookmarkEnd w:id="78"/>
      <w:bookmarkEnd w:id="79"/>
      <w:bookmarkEnd w:id="80"/>
      <w:bookmarkEnd w:id="81"/>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规划涉及铁路、公路、水路、航空、管道等多种类型交通方式，对环境的影响主要体现在各类交通基础设施的建设和运行将占用、消耗一定量的土地等物资资源，运输装备和服务系统运行将向周边环境排放废气、废水、噪声和固体废物等，对局部区域环境质量产生不利影响，采取占补平衡等有效措施，规划实施对资源占用影响不大。此外，由于本规划注重绿色发展，通过建设绿色生态基础设施、推广节能环保运输装备和发展集约高效运输组织，规划实施后能耗指标明显下降，环境质量不会受到较大影响。</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82" w:name="_Toc61287339"/>
      <w:bookmarkStart w:id="83" w:name="_Toc102660589"/>
      <w:bookmarkStart w:id="84" w:name="_Toc441236018"/>
      <w:bookmarkStart w:id="85" w:name="_Toc57386002"/>
      <w:bookmarkStart w:id="86" w:name="_Toc457894801"/>
      <w:bookmarkStart w:id="87" w:name="_Toc457322548"/>
      <w:bookmarkStart w:id="88" w:name="_Toc457293620"/>
      <w:r>
        <w:rPr>
          <w:rFonts w:hint="default" w:ascii="Times New Roman" w:hAnsi="Times New Roman" w:eastAsia="楷体_GB2312" w:cs="Times New Roman"/>
          <w:b w:val="0"/>
          <w:bCs w:val="0"/>
          <w:kern w:val="2"/>
          <w:sz w:val="32"/>
          <w:szCs w:val="32"/>
          <w:lang w:val="en-US" w:eastAsia="zh-CN" w:bidi="ar-SA"/>
        </w:rPr>
        <w:t>（二）预防和减缓不良环境影响的措施</w:t>
      </w:r>
      <w:bookmarkEnd w:id="82"/>
      <w:bookmarkEnd w:id="83"/>
      <w:bookmarkEnd w:id="84"/>
      <w:bookmarkEnd w:id="85"/>
      <w:bookmarkEnd w:id="86"/>
      <w:bookmarkEnd w:id="87"/>
      <w:bookmarkEnd w:id="88"/>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89" w:name="_Toc57386003"/>
      <w:bookmarkStart w:id="90" w:name="_Toc457894802"/>
      <w:bookmarkStart w:id="91" w:name="_Toc457322549"/>
      <w:bookmarkStart w:id="92" w:name="_Toc61287340"/>
      <w:bookmarkStart w:id="93" w:name="_Toc457293621"/>
      <w:r>
        <w:rPr>
          <w:rFonts w:hint="default" w:ascii="Times New Roman" w:hAnsi="Times New Roman" w:eastAsia="仿宋_GB2312" w:cs="Times New Roman"/>
          <w:b/>
          <w:bCs/>
          <w:kern w:val="2"/>
          <w:sz w:val="32"/>
          <w:szCs w:val="32"/>
          <w:lang w:val="en-US" w:eastAsia="zh-CN" w:bidi="ar-SA"/>
        </w:rPr>
        <w:t>1</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节约集约利用资源和减少污染</w:t>
      </w:r>
      <w:bookmarkEnd w:id="89"/>
      <w:bookmarkEnd w:id="90"/>
      <w:bookmarkEnd w:id="91"/>
      <w:bookmarkEnd w:id="92"/>
      <w:bookmarkEnd w:id="93"/>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以资源集约化、精细化开发为主旨，在项目设计和实施过程中，通过改造、扩容等手段积极提高各类既有交通设施的资源利用效率，尽量减少土地（海域）特别是耕地占用，实现对能源、资金、土地和环境等资源的集约节约利用；大力推广节能环保技术，全面推进清洁能源和新能源车辆应用，提高车船能源使用效率，加速淘汰高耗的老旧车船，减少环境污染；积极发展多式联运、甩挂运输等先进运输组织方式。</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94" w:name="_Toc61287341"/>
      <w:bookmarkStart w:id="95" w:name="_Toc57386004"/>
      <w:bookmarkStart w:id="96" w:name="_Toc457894803"/>
      <w:bookmarkStart w:id="97" w:name="_Toc457322550"/>
      <w:bookmarkStart w:id="98" w:name="_Toc457293622"/>
      <w:r>
        <w:rPr>
          <w:rFonts w:hint="default" w:ascii="Times New Roman" w:hAnsi="Times New Roman" w:eastAsia="仿宋_GB2312" w:cs="Times New Roman"/>
          <w:b/>
          <w:bCs/>
          <w:kern w:val="2"/>
          <w:sz w:val="32"/>
          <w:szCs w:val="32"/>
          <w:lang w:val="en-US" w:eastAsia="zh-CN" w:bidi="ar-SA"/>
        </w:rPr>
        <w:t>2</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强化生态保护和污染防治</w:t>
      </w:r>
      <w:bookmarkEnd w:id="94"/>
      <w:bookmarkEnd w:id="95"/>
      <w:bookmarkEnd w:id="96"/>
      <w:bookmarkEnd w:id="97"/>
      <w:bookmarkEnd w:id="98"/>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合理设计项目线位走向和场站选址，注重生态保护，避绕水源地、湿地等生态敏感区域及永久基本农田示范区。加大项目污染防治力度，实现污染物达标排放。通过推广使用清洁能源、环保交通设施，减少环境空气污染；通过采用先进筑路材料、设置绿化隔音带和隔声屏障等措施，降低交通噪声污染。</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2" w:firstLineChars="200"/>
        <w:textAlignment w:val="auto"/>
        <w:rPr>
          <w:rFonts w:hint="default" w:ascii="Times New Roman" w:hAnsi="Times New Roman" w:eastAsia="仿宋_GB2312" w:cs="Times New Roman"/>
          <w:b/>
          <w:bCs/>
          <w:kern w:val="2"/>
          <w:sz w:val="32"/>
          <w:szCs w:val="32"/>
          <w:lang w:val="en-US" w:eastAsia="zh-CN" w:bidi="ar-SA"/>
        </w:rPr>
      </w:pPr>
      <w:bookmarkStart w:id="99" w:name="_Toc457322551"/>
      <w:bookmarkStart w:id="100" w:name="_Toc57386005"/>
      <w:bookmarkStart w:id="101" w:name="_Toc457894804"/>
      <w:bookmarkStart w:id="102" w:name="_Toc61287342"/>
      <w:bookmarkStart w:id="103" w:name="_Toc457293623"/>
      <w:r>
        <w:rPr>
          <w:rFonts w:hint="default" w:ascii="Times New Roman" w:hAnsi="Times New Roman" w:eastAsia="仿宋_GB2312" w:cs="Times New Roman"/>
          <w:b/>
          <w:bCs/>
          <w:kern w:val="2"/>
          <w:sz w:val="32"/>
          <w:szCs w:val="32"/>
          <w:lang w:val="en-US" w:eastAsia="zh-CN" w:bidi="ar-SA"/>
        </w:rPr>
        <w:t>3</w:t>
      </w:r>
      <w:r>
        <w:rPr>
          <w:rFonts w:hint="default" w:ascii="Times New Roman" w:hAnsi="Times New Roman" w:cs="Times New Roman"/>
          <w:b/>
          <w:bCs/>
          <w:sz w:val="32"/>
          <w:szCs w:val="32"/>
        </w:rPr>
        <w:t>．</w:t>
      </w:r>
      <w:r>
        <w:rPr>
          <w:rFonts w:hint="default" w:ascii="Times New Roman" w:hAnsi="Times New Roman" w:eastAsia="仿宋_GB2312" w:cs="Times New Roman"/>
          <w:b/>
          <w:bCs/>
          <w:kern w:val="2"/>
          <w:sz w:val="32"/>
          <w:szCs w:val="32"/>
          <w:lang w:val="en-US" w:eastAsia="zh-CN" w:bidi="ar-SA"/>
        </w:rPr>
        <w:t>完善项目环境管理体系</w:t>
      </w:r>
      <w:bookmarkEnd w:id="99"/>
      <w:bookmarkEnd w:id="100"/>
      <w:bookmarkEnd w:id="101"/>
      <w:bookmarkEnd w:id="102"/>
      <w:bookmarkEnd w:id="103"/>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严格执行《环境保护法》、《环境影响评价法》、《规划环境影响评价条例》等法律法规，按要求开展规划及交通类建设项目的环境影响评价工作，强化行业监管，严格新建、扩建项目审批，严把环保准入关；严格执行“三同时”制度，加强建设项目后期管理力度，强化验收环节的管理，做好规划项目施工、运行阶段的环境监管。建立完善绿色交通发展战略规划体系、标准规范体系、监督管理体系和组织保障体系，改善制度环境，提服务与管理能力。</w:t>
      </w:r>
    </w:p>
    <w:p>
      <w:pPr>
        <w:rPr>
          <w:rFonts w:hint="default" w:ascii="Times New Roman" w:hAnsi="Times New Roman" w:eastAsia="仿宋_GB2312" w:cs="Times New Roman"/>
          <w:sz w:val="32"/>
          <w:szCs w:val="32"/>
        </w:rPr>
      </w:pPr>
      <w:bookmarkStart w:id="104" w:name="_Toc102660590"/>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ind w:left="0" w:firstLine="640" w:firstLineChars="200"/>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七、保障措施</w:t>
      </w:r>
      <w:bookmarkEnd w:id="104"/>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5" w:name="_Toc102660591"/>
      <w:r>
        <w:rPr>
          <w:rFonts w:hint="default" w:ascii="Times New Roman" w:hAnsi="Times New Roman" w:eastAsia="楷体_GB2312" w:cs="Times New Roman"/>
          <w:b w:val="0"/>
          <w:bCs w:val="0"/>
          <w:kern w:val="2"/>
          <w:sz w:val="32"/>
          <w:szCs w:val="32"/>
          <w:lang w:val="en-US" w:eastAsia="zh-CN" w:bidi="ar-SA"/>
        </w:rPr>
        <w:t>（一）加强组织指导</w:t>
      </w:r>
      <w:bookmarkEnd w:id="105"/>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坚持党的全面领导，充分发挥党在规划推进过程中总揽全局、协调各方的作用，建立与市级部门协同、上下机构联动、周边县市互动、军民融合发展的综合交通规划实施工作机制。各级交通主管部门要建立分工协作机制，细化落实目标任务，明确责任，有序推进各项工作；要主动加强与本级发改、财政、自规、生态等相关部门的衔接；要进一步加强与周边行政单元的衔接，确保项目同步实施，避免出现断头路。建立规划实施事中事后监管和动态评估调整机制。</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6" w:name="_Toc102660592"/>
      <w:r>
        <w:rPr>
          <w:rFonts w:hint="default" w:ascii="Times New Roman" w:hAnsi="Times New Roman" w:eastAsia="楷体_GB2312" w:cs="Times New Roman"/>
          <w:b w:val="0"/>
          <w:bCs w:val="0"/>
          <w:kern w:val="2"/>
          <w:sz w:val="32"/>
          <w:szCs w:val="32"/>
          <w:lang w:val="en-US" w:eastAsia="zh-CN" w:bidi="ar-SA"/>
        </w:rPr>
        <w:t>（二）加强改革创新</w:t>
      </w:r>
      <w:bookmarkEnd w:id="106"/>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立足于科学决策、科学发展和破解影响交通发展的政策、体制保障等难题，探索并建立健全交通发展重大问题研究决策、重大事项协调推进、交通基础设施长效维护等工作机制。按照全省交通运输综合改革试点要求，推进21个方面的改革事项。其中重点推进“一城一交”大交通管理体制改革、综合交通指挥中心运作机制建设、公共交通综合运行协调指挥中心建设以及努力在落实重大发展思路研究、重大问题协调推进保障、行业管理体制保障、公交优先政策保障等方面取得新突破，在引导公众参与交通管理监督等方面取得新进步。</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7" w:name="_Toc102660593"/>
      <w:r>
        <w:rPr>
          <w:rFonts w:hint="default" w:ascii="Times New Roman" w:hAnsi="Times New Roman" w:eastAsia="楷体_GB2312" w:cs="Times New Roman"/>
          <w:b w:val="0"/>
          <w:bCs w:val="0"/>
          <w:kern w:val="2"/>
          <w:sz w:val="32"/>
          <w:szCs w:val="32"/>
          <w:lang w:val="en-US" w:eastAsia="zh-CN" w:bidi="ar-SA"/>
        </w:rPr>
        <w:t>（三）加强要素保障</w:t>
      </w:r>
      <w:bookmarkEnd w:id="107"/>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积极探索破解交通建设和运输服务中土地、资金、人才等要素制约问题的有效途径。进一步优化交通项目选址，尽量避占优质耕地尤其是水田。通过资金倾斜和改革创新，加大政策供给，鼓励通过存量盘活、低丘缓坡开发利用、市场配置土地要素等方式落实用地主体自身重大项目建设占用的耕地占补平衡。强化交通规划与土地利用规划、控制性详规的衔接，实现交通规划与城市规划互动协调，做到交通建设和运输服务用地优先保障预留，土地开发增值后用于地铁建设，做到交通建设、城市建设、土地开发同步。努力形成财政投入和市场融资互补的交通建设资金保障格局，拓宽融资渠道，鼓励和引进民间资金进入交通建设和交通公共服务等领域。加强资金保障，积极争取国家、省投资补助支持政策；研究适应新形势的投融资渠道，建立投融资平台，按照“政府引导、市场运作”的方式，加大招商引资力度，以“经营”的理念拓宽投资类型，增加建设资金来源，加快推进综合交通重大项目建设；整合上级交通建设补助资金、交通专项资金、市级财政资金以及其他资金，合理安排专项资金用于交通建设。</w:t>
      </w:r>
    </w:p>
    <w:p>
      <w:pPr>
        <w:pStyle w:val="5"/>
        <w:keepNext w:val="0"/>
        <w:keepLines w:val="0"/>
        <w:pageBreakBefore w:val="0"/>
        <w:widowControl w:val="0"/>
        <w:numPr>
          <w:ilvl w:val="1"/>
          <w:numId w:val="0"/>
        </w:numPr>
        <w:kinsoku/>
        <w:wordWrap/>
        <w:overflowPunct/>
        <w:topLinePunct w:val="0"/>
        <w:autoSpaceDE/>
        <w:autoSpaceDN/>
        <w:bidi w:val="0"/>
        <w:adjustRightInd/>
        <w:spacing w:beforeLines="0" w:afterLines="0" w:line="560" w:lineRule="exact"/>
        <w:ind w:firstLine="640" w:firstLineChars="200"/>
        <w:textAlignment w:val="auto"/>
        <w:rPr>
          <w:rFonts w:hint="default" w:ascii="Times New Roman" w:hAnsi="Times New Roman" w:eastAsia="楷体_GB2312" w:cs="Times New Roman"/>
          <w:b w:val="0"/>
          <w:bCs w:val="0"/>
          <w:kern w:val="2"/>
          <w:sz w:val="32"/>
          <w:szCs w:val="32"/>
          <w:lang w:val="en-US" w:eastAsia="zh-CN" w:bidi="ar-SA"/>
        </w:rPr>
      </w:pPr>
      <w:bookmarkStart w:id="108" w:name="_Toc102660594"/>
      <w:r>
        <w:rPr>
          <w:rFonts w:hint="default" w:ascii="Times New Roman" w:hAnsi="Times New Roman" w:eastAsia="楷体_GB2312" w:cs="Times New Roman"/>
          <w:b w:val="0"/>
          <w:bCs w:val="0"/>
          <w:kern w:val="2"/>
          <w:sz w:val="32"/>
          <w:szCs w:val="32"/>
          <w:lang w:val="en-US" w:eastAsia="zh-CN" w:bidi="ar-SA"/>
        </w:rPr>
        <w:t>（四）完善监督考核</w:t>
      </w:r>
      <w:bookmarkEnd w:id="108"/>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立规划监督机制，制定任务分工方案，强化对规划实施情况的监督检查，发挥行政监察、组织人事、统计审计等部门对规划实施的监督作用，充分听取各方面的意见和建议，发挥社会各界对规划实施情况的监督作用。建立规划实施定期考核机制，围绕规划确定的指标任务和落实的目标责任，全面考核监督各地任务实施情况，充分保障规划目标的全面实现。</w:t>
      </w:r>
    </w:p>
    <w:p>
      <w:pPr>
        <w:keepNext w:val="0"/>
        <w:keepLines w:val="0"/>
        <w:pageBreakBefore w:val="0"/>
        <w:widowControl w:val="0"/>
        <w:kinsoku/>
        <w:wordWrap/>
        <w:overflowPunct/>
        <w:topLinePunct w:val="0"/>
        <w:autoSpaceDE/>
        <w:autoSpaceDN/>
        <w:bidi w:val="0"/>
        <w:adjustRightInd/>
        <w:snapToGrid w:val="0"/>
        <w:spacing w:line="560" w:lineRule="exact"/>
        <w:ind w:left="0"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规划已制定，关键靠落实。一要加强规划引导，确保规划科学性、可操作性。“十四五”时期全县综合交通项目建设要以规划为依据，合理制定今后五年建设计划，稳步推进相关项目前期工作，确保规划项目有序推进，保证规划目标和任务得到贯彻落实。二要把加强综合交通运输发展摆到更加突出位置，强化对综合交通运输发展工作的领导，成立专门工作班子，落实责任，统筹协调，整体推进。建立目标责任管理机制，把交通发展目标纳入年度考核目标中，并明确相关要求。</w:t>
      </w:r>
    </w:p>
    <w:p>
      <w:pPr>
        <w:rPr>
          <w:rFonts w:hint="default" w:ascii="Times New Roman" w:hAnsi="Times New Roman" w:eastAsia="仿宋_GB2312" w:cs="Times New Roman"/>
          <w:sz w:val="32"/>
          <w:szCs w:val="32"/>
        </w:rPr>
      </w:pPr>
      <w:bookmarkStart w:id="109" w:name="_Toc53759319"/>
      <w:bookmarkStart w:id="110" w:name="_Toc102660595"/>
      <w:r>
        <w:rPr>
          <w:rFonts w:hint="default" w:ascii="Times New Roman" w:hAnsi="Times New Roman" w:eastAsia="仿宋_GB2312" w:cs="Times New Roman"/>
          <w:sz w:val="32"/>
          <w:szCs w:val="32"/>
        </w:rPr>
        <w:br w:type="page"/>
      </w:r>
    </w:p>
    <w:p>
      <w:pPr>
        <w:pStyle w:val="4"/>
        <w:keepNext w:val="0"/>
        <w:keepLines w:val="0"/>
        <w:pageBreakBefore w:val="0"/>
        <w:widowControl w:val="0"/>
        <w:numPr>
          <w:ilvl w:val="0"/>
          <w:numId w:val="0"/>
        </w:numPr>
        <w:kinsoku/>
        <w:wordWrap/>
        <w:overflowPunct/>
        <w:topLinePunct w:val="0"/>
        <w:autoSpaceDE/>
        <w:autoSpaceDN/>
        <w:bidi w:val="0"/>
        <w:adjustRightInd/>
        <w:snapToGrid/>
        <w:spacing w:beforeLines="0" w:afterLines="0" w:line="560" w:lineRule="exact"/>
        <w:jc w:val="center"/>
        <w:textAlignment w:val="auto"/>
        <w:rPr>
          <w:rFonts w:hint="default" w:ascii="Times New Roman" w:hAnsi="Times New Roman" w:cs="Times New Roman"/>
          <w:b w:val="0"/>
          <w:bCs w:val="0"/>
          <w:sz w:val="32"/>
          <w:szCs w:val="32"/>
          <w:lang w:eastAsia="zh-CN"/>
        </w:rPr>
      </w:pPr>
      <w:r>
        <w:rPr>
          <w:rFonts w:hint="default" w:ascii="Times New Roman" w:hAnsi="Times New Roman" w:cs="Times New Roman"/>
          <w:b w:val="0"/>
          <w:bCs w:val="0"/>
          <w:sz w:val="32"/>
          <w:szCs w:val="32"/>
          <w:lang w:eastAsia="zh-CN"/>
        </w:rPr>
        <w:t>八、附表：平阳县 “十四五”交通投资项目汇总表</w:t>
      </w:r>
      <w:bookmarkEnd w:id="109"/>
      <w:bookmarkEnd w:id="110"/>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1" w:name="_Toc102660596"/>
      <w:bookmarkStart w:id="112" w:name="_Hlk88832994"/>
      <w:r>
        <w:rPr>
          <w:rFonts w:hint="default" w:ascii="Times New Roman" w:hAnsi="Times New Roman" w:eastAsia="仿宋_GB2312" w:cs="Times New Roman"/>
          <w:b/>
          <w:bCs/>
          <w:sz w:val="32"/>
          <w:szCs w:val="32"/>
        </w:rPr>
        <w:t>平阳县综合交通运输“十四五”发展规划</w:t>
      </w:r>
      <w:bookmarkEnd w:id="111"/>
      <w:bookmarkStart w:id="113" w:name="_Toc102660597"/>
      <w:r>
        <w:rPr>
          <w:rFonts w:hint="default" w:ascii="Times New Roman" w:hAnsi="Times New Roman" w:eastAsia="仿宋_GB2312" w:cs="Times New Roman"/>
          <w:b/>
          <w:bCs/>
          <w:sz w:val="32"/>
          <w:szCs w:val="32"/>
        </w:rPr>
        <w:t>建设总规模表</w:t>
      </w:r>
      <w:bookmarkEnd w:id="113"/>
    </w:p>
    <w:tbl>
      <w:tblPr>
        <w:tblStyle w:val="16"/>
        <w:tblW w:w="89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258"/>
        <w:gridCol w:w="2344"/>
        <w:gridCol w:w="2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序号</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类别</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“十三五”总投资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（亿元）</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“十四五”计划投资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总计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175.3</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铁路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公路合计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174.2</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201.99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其中：高速公路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39.5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普通国省道</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54.0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县道农村公路</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80.7</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水运合计</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其中：沿海港口</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0.5</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内河航道</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0.0</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087"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5</w:t>
            </w:r>
          </w:p>
        </w:tc>
        <w:tc>
          <w:tcPr>
            <w:tcW w:w="325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站场枢纽</w:t>
            </w:r>
          </w:p>
        </w:tc>
        <w:tc>
          <w:tcPr>
            <w:tcW w:w="234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0.8</w:t>
            </w:r>
          </w:p>
        </w:tc>
        <w:tc>
          <w:tcPr>
            <w:tcW w:w="221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0.8</w:t>
            </w:r>
          </w:p>
        </w:tc>
      </w:tr>
      <w:bookmarkEnd w:id="112"/>
    </w:tbl>
    <w:p>
      <w:pPr>
        <w:keepNext w:val="0"/>
        <w:keepLines w:val="0"/>
        <w:pageBreakBefore w:val="0"/>
        <w:widowControl w:val="0"/>
        <w:kinsoku/>
        <w:wordWrap/>
        <w:overflowPunct/>
        <w:topLinePunct w:val="0"/>
        <w:autoSpaceDE/>
        <w:autoSpaceDN/>
        <w:bidi w:val="0"/>
        <w:ind w:firstLine="0" w:firstLineChars="0"/>
        <w:jc w:val="left"/>
        <w:rPr>
          <w:rFonts w:hint="default" w:ascii="Times New Roman" w:hAnsi="Times New Roman" w:eastAsia="黑体" w:cs="Times New Roman"/>
          <w:sz w:val="21"/>
          <w:szCs w:val="21"/>
        </w:rPr>
      </w:pPr>
    </w:p>
    <w:p>
      <w:pPr>
        <w:keepNext w:val="0"/>
        <w:keepLines w:val="0"/>
        <w:pageBreakBefore w:val="0"/>
        <w:widowControl w:val="0"/>
        <w:kinsoku/>
        <w:wordWrap/>
        <w:overflowPunct/>
        <w:topLinePunct w:val="0"/>
        <w:autoSpaceDE/>
        <w:autoSpaceDN/>
        <w:bidi w:val="0"/>
        <w:ind w:firstLine="0" w:firstLineChars="0"/>
        <w:jc w:val="left"/>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注：“十四五”实施类项目总投资202.79亿元，预备类项目总投资588.5亿元，共计总投资791.29亿元。</w:t>
      </w:r>
    </w:p>
    <w:p>
      <w:pPr>
        <w:keepNext w:val="0"/>
        <w:keepLines w:val="0"/>
        <w:pageBreakBefore w:val="0"/>
        <w:widowControl w:val="0"/>
        <w:kinsoku/>
        <w:wordWrap/>
        <w:overflowPunct/>
        <w:topLinePunct w:val="0"/>
        <w:autoSpaceDE/>
        <w:autoSpaceDN/>
        <w:bidi w:val="0"/>
        <w:rPr>
          <w:rFonts w:hint="default" w:ascii="Times New Roman" w:hAnsi="Times New Roman" w:eastAsia="楷体" w:cs="Times New Roman"/>
          <w:i/>
          <w:iCs/>
          <w:szCs w:val="28"/>
        </w:rPr>
      </w:pPr>
      <w:r>
        <w:rPr>
          <w:rFonts w:hint="default" w:ascii="Times New Roman" w:hAnsi="Times New Roman" w:eastAsia="楷体" w:cs="Times New Roman"/>
          <w:i/>
          <w:iCs/>
          <w:szCs w:val="28"/>
        </w:rPr>
        <w:br w:type="page"/>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4" w:name="_Toc102660598"/>
      <w:r>
        <w:rPr>
          <w:rFonts w:hint="default" w:ascii="Times New Roman" w:hAnsi="Times New Roman" w:eastAsia="仿宋_GB2312" w:cs="Times New Roman"/>
          <w:b/>
          <w:bCs/>
          <w:sz w:val="32"/>
          <w:szCs w:val="32"/>
        </w:rPr>
        <w:t>平阳县综合交通运输“十四五”发展规划项目表（实施类）</w:t>
      </w:r>
      <w:bookmarkEnd w:id="114"/>
    </w:p>
    <w:tbl>
      <w:tblPr>
        <w:tblStyle w:val="1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23"/>
        <w:gridCol w:w="2964"/>
        <w:gridCol w:w="710"/>
        <w:gridCol w:w="1970"/>
        <w:gridCol w:w="896"/>
        <w:gridCol w:w="1108"/>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blHeader/>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序号</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项目名称</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建设性质</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建设规模</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“十四五”投资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组织实施单位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一</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公路</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326.5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201.99</w:t>
            </w:r>
            <w:r>
              <w:rPr>
                <w:rFonts w:hint="default" w:ascii="Times New Roman" w:hAnsi="Times New Roman" w:cs="Times New Roman"/>
                <w:b/>
                <w:bCs/>
                <w:sz w:val="21"/>
                <w:szCs w:val="21"/>
              </w:rPr>
              <w:fldChar w:fldCharType="begin"/>
            </w:r>
            <w:r>
              <w:rPr>
                <w:rFonts w:hint="default" w:ascii="Times New Roman" w:hAnsi="Times New Roman" w:cs="Times New Roman"/>
                <w:b/>
                <w:bCs/>
                <w:sz w:val="21"/>
                <w:szCs w:val="21"/>
              </w:rPr>
              <w:instrText xml:space="preserve"> =SUM(ABOVE) \* MERGEFORMAT </w:instrText>
            </w:r>
            <w:r>
              <w:rPr>
                <w:rFonts w:hint="default" w:ascii="Times New Roman" w:hAnsi="Times New Roman" w:cs="Times New Roman"/>
                <w:b/>
                <w:bCs/>
                <w:sz w:val="21"/>
                <w:szCs w:val="21"/>
              </w:rPr>
              <w:fldChar w:fldCharType="end"/>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瑞平苍高速公路（龙丽温至甬台温复线联络线）</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高速公路29公里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瑞平苍高速公路有限公司、</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sz w:val="21"/>
                <w:szCs w:val="21"/>
              </w:rPr>
              <w:t>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G15 沈海高速公路温州市南白象枢纽至万全枢纽段改扩建工程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高速公路1.7公里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市交发集团、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甬台温高速增设平阳北互通工程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 1040米，匝道总长 3.1公里，连接线长4.7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甬台温高速增设鳌江互通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主线长拼宽1.1公里，匝道总长 1.3公里，连接线长2.4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104 国道瑞安仙降至平阳萧江段改建工程（平阳段）</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27.2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228国道平阳榆垟至鳌江段公路工程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11.4公里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18.1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7</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218省道平阳腾蛟至萧江段改建工程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该项目路线全长40.3公里（其中利用104国道5.265公里）、新建主线段29.335公里，连接线共长5.702公里，双向四车道一级公路。</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35.88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8</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219省道平阳怀溪至闹村段工程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该项目路线全长34.8公里，其中连接线长1.1公里，双向四车道一级公路。</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38.76</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9</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平阳县蒲山至满田农村道路提升工程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7.78公里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1.27</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0.37</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10</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平阳县水头镇鹏山村至新溪村农村道路改造提升工程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4.08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0.82</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平阳县顺溪镇岭后村至顺溪村农村道路提升改造工程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续建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10.08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0.25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港站城大道一期（鳌江火车站至昆阳）工程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路线全长3.1公里，采用双向两车道四级公路标准，路基宽度8米，设隧道一座长2121m</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6.79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港站城大道二期（鳌江火车站至鳌江互通段）</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全长约3.799km，采用双向四车道一级公路标准，路基宽度24.5m。</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7.7</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古盘山快速通道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（新园路至胜利东路段建设工程）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6.7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胜利路东延段（墨城互通至横山大道）工程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1.15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2.14</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瑞平苍高速至南雁荡山景区北线工程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2.23公里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17</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瑞平苍高速至南雁荡山景区南线工程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3.41公里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18</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环南雁荡山景区道路工程一期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(青街乡青街村至脑村乡上仕浪村农村道路提升改造工程)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三级公路 9.6公里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6.69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19</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228国道至昆鳌大道连接线工程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一级公路标准，设置双向四车道，全长约500米，设中桥一座60米。</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0.58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20</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萧龙线提升工程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0.68公里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0.68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平阳苔湖至维新农村道路提升改造工程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 9.4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22</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麻步镇至104国道西过境连接线工程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2.0公里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1.5</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23</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水头滨江大道新建工程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 2.8 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水头镇政府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24</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平阳闹村至联山农村道路提升改造工程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四级公路12公里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25</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平阳鹤溪至蔡垟农村道路提升改造工程</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四级公路11.2公里</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0.9</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26</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四好农村路</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农村公路新改建、养护、危病桥隧改造、安保、公交一体化、美丽公路等工程</w:t>
            </w: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县四好办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二</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枢纽场站</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423"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w:t>
            </w:r>
          </w:p>
        </w:tc>
        <w:tc>
          <w:tcPr>
            <w:tcW w:w="2964"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平阳县滨海新区客运站</w:t>
            </w:r>
          </w:p>
        </w:tc>
        <w:tc>
          <w:tcPr>
            <w:tcW w:w="71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970"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896"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1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0.8</w:t>
            </w:r>
          </w:p>
        </w:tc>
        <w:tc>
          <w:tcPr>
            <w:tcW w:w="185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bl>
    <w:p>
      <w:pPr>
        <w:keepNext w:val="0"/>
        <w:keepLines w:val="0"/>
        <w:pageBreakBefore w:val="0"/>
        <w:widowControl w:val="0"/>
        <w:kinsoku/>
        <w:wordWrap/>
        <w:overflowPunct/>
        <w:topLinePunct w:val="0"/>
        <w:autoSpaceDE/>
        <w:autoSpaceDN/>
        <w:bidi w:val="0"/>
        <w:rPr>
          <w:rFonts w:hint="default" w:ascii="Times New Roman" w:hAnsi="Times New Roman" w:eastAsia="楷体" w:cs="Times New Roman"/>
          <w:i/>
          <w:iCs/>
          <w:szCs w:val="28"/>
        </w:rPr>
      </w:pPr>
      <w:r>
        <w:rPr>
          <w:rFonts w:hint="default" w:ascii="Times New Roman" w:hAnsi="Times New Roman" w:eastAsia="楷体" w:cs="Times New Roman"/>
          <w:i/>
          <w:iCs/>
          <w:szCs w:val="28"/>
        </w:rPr>
        <w:br w:type="page"/>
      </w:r>
    </w:p>
    <w:p>
      <w:pPr>
        <w:keepNext w:val="0"/>
        <w:keepLines w:val="0"/>
        <w:pageBreakBefore w:val="0"/>
        <w:widowControl w:val="0"/>
        <w:kinsoku/>
        <w:wordWrap/>
        <w:overflowPunct/>
        <w:topLinePunct w:val="0"/>
        <w:autoSpaceDE/>
        <w:autoSpaceDN/>
        <w:bidi w:val="0"/>
        <w:adjustRightInd/>
        <w:snapToGrid w:val="0"/>
        <w:spacing w:before="157" w:beforeLines="50" w:after="157" w:afterLines="50" w:line="560" w:lineRule="exact"/>
        <w:ind w:left="0" w:leftChars="0" w:firstLine="0" w:firstLineChars="0"/>
        <w:jc w:val="center"/>
        <w:textAlignment w:val="auto"/>
        <w:outlineLvl w:val="1"/>
        <w:rPr>
          <w:rFonts w:hint="default" w:ascii="Times New Roman" w:hAnsi="Times New Roman" w:eastAsia="仿宋_GB2312" w:cs="Times New Roman"/>
          <w:b/>
          <w:bCs/>
          <w:sz w:val="32"/>
          <w:szCs w:val="32"/>
        </w:rPr>
      </w:pPr>
      <w:bookmarkStart w:id="115" w:name="_Toc102660599"/>
      <w:r>
        <w:rPr>
          <w:rFonts w:hint="default" w:ascii="Times New Roman" w:hAnsi="Times New Roman" w:eastAsia="仿宋_GB2312" w:cs="Times New Roman"/>
          <w:b/>
          <w:bCs/>
          <w:sz w:val="32"/>
          <w:szCs w:val="32"/>
        </w:rPr>
        <w:t>平阳县综合交通运输“十四五”发展规划项目表（预备类）</w:t>
      </w:r>
      <w:bookmarkEnd w:id="115"/>
    </w:p>
    <w:tbl>
      <w:tblPr>
        <w:tblStyle w:val="16"/>
        <w:tblW w:w="99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35"/>
        <w:gridCol w:w="2775"/>
        <w:gridCol w:w="1032"/>
        <w:gridCol w:w="1608"/>
        <w:gridCol w:w="1140"/>
        <w:gridCol w:w="1100"/>
        <w:gridCol w:w="1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tblHeader/>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序号</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项目名称</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建设性质</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建设规模</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总投资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“十四五”投资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（亿元）</w:t>
            </w: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黑体" w:cs="Times New Roman"/>
                <w:sz w:val="21"/>
                <w:szCs w:val="21"/>
              </w:rPr>
            </w:pPr>
            <w:r>
              <w:rPr>
                <w:rFonts w:hint="default" w:ascii="Times New Roman" w:hAnsi="Times New Roman" w:eastAsia="黑体" w:cs="Times New Roman"/>
                <w:sz w:val="21"/>
                <w:szCs w:val="21"/>
              </w:rPr>
              <w:t>组织实施单位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一</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铁路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160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温福高铁（平阳段）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国铁I级，双线29公里。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市铁管中心、县铁路和轨道交通建设中心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温州市域轨道S3线二期（平阳段）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市域轨道S3线瑞安南延至苍南。</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市铁管中心、县铁路和轨道交通建设中心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二</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402.2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温州绕城高速西南线海西互通工程</w:t>
            </w:r>
            <w:r>
              <w:rPr>
                <w:rFonts w:hint="default" w:ascii="Times New Roman" w:hAnsi="Times New Roman" w:cs="Times New Roman"/>
                <w:sz w:val="21"/>
                <w:szCs w:val="21"/>
              </w:rPr>
              <w:tab/>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主线长拼宽 1040米，匝道总长 3.1公里，连接线长4.7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G15 沈海高速温州段改扩建工程（平阳万全至浙闽界段）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高速公路26公里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76</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市交发集团、县交通运输局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合温高速南延（平阳段）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高速公路16公里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滨海景观大道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（浙南产业集聚区平阳分区至鳌江通港公路）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7.98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22.2</w:t>
            </w: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环南雁荡山景区道路工程二期</w:t>
            </w:r>
          </w:p>
        </w:tc>
        <w:tc>
          <w:tcPr>
            <w:tcW w:w="1032" w:type="dxa"/>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二级公路20公里（其中扩建一期9.6公里）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0"/>
                <w:szCs w:val="20"/>
              </w:rPr>
              <w:t>温瑞大道快速路平阳段南延伸线工程（万全至鳌江段）</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一级公路16.7公里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鳌江至萧江快速路工程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一级公路8.2公里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鳌江至龙港快速路工程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一级公路5公里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9</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0"/>
                <w:szCs w:val="20"/>
              </w:rPr>
              <w:t>萧江至龙港公路平阳段工程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104国道西过境至万锦公路连接线工程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0.5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218省道至219省道北接线工程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cs="Times New Roman"/>
                <w:sz w:val="21"/>
                <w:szCs w:val="21"/>
              </w:rPr>
              <w:t>10.5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218省道至219省道南接线工程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15 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cs="Times New Roman"/>
                <w:sz w:val="21"/>
                <w:szCs w:val="21"/>
              </w:rPr>
              <w:t>8.6</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平阳县57省道至104国道连接线公路</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 5.9公里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7.3</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平阳青街至苍南莒溪公路平阳段工程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 xml:space="preserve">5.0 </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等线" w:cs="Times New Roman"/>
                <w:color w:val="000000"/>
                <w:sz w:val="21"/>
                <w:szCs w:val="21"/>
              </w:rPr>
              <w:t>15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平阳顺溪至泰顺九峰公路平阳段工程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三级公路 15.0公里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城新线昆阳至海西段改建工程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17</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平阳万全至瑞安马屿公路昆阳至马屿段工程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18</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钱马公路改建工程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二级公路5.0公里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 xml:space="preserve">5.0 </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19</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218省道连接瑞安平阳坑延伸线工程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一级公路4.3公里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3.55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等线" w:cs="Times New Roman"/>
                <w:color w:val="000000"/>
                <w:sz w:val="21"/>
                <w:szCs w:val="21"/>
              </w:rPr>
            </w:pPr>
            <w:r>
              <w:rPr>
                <w:rFonts w:hint="default" w:ascii="Times New Roman" w:hAnsi="Times New Roman" w:eastAsia="等线" w:cs="Times New Roman"/>
                <w:color w:val="000000"/>
                <w:sz w:val="21"/>
                <w:szCs w:val="21"/>
              </w:rPr>
              <w:t>20</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left"/>
              <w:textAlignment w:val="auto"/>
              <w:rPr>
                <w:rFonts w:hint="default" w:ascii="Times New Roman" w:hAnsi="Times New Roman" w:cs="Times New Roman"/>
                <w:sz w:val="21"/>
                <w:szCs w:val="21"/>
              </w:rPr>
            </w:pPr>
            <w:r>
              <w:rPr>
                <w:rFonts w:hint="default" w:ascii="Times New Roman" w:hAnsi="Times New Roman" w:cs="Times New Roman"/>
                <w:sz w:val="21"/>
                <w:szCs w:val="21"/>
              </w:rPr>
              <w:t>昆阳至滨海快速通道</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一级公路7.7公里</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color w:val="000000"/>
                <w:kern w:val="0"/>
                <w:sz w:val="21"/>
                <w:szCs w:val="21"/>
              </w:rPr>
              <w:t>8.5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三</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水运</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kern w:val="0"/>
                <w:sz w:val="21"/>
                <w:szCs w:val="21"/>
              </w:rPr>
            </w:pPr>
            <w:r>
              <w:rPr>
                <w:rFonts w:hint="default" w:ascii="Times New Roman" w:hAnsi="Times New Roman" w:eastAsia="宋体" w:cs="Times New Roman"/>
                <w:b/>
                <w:bCs/>
                <w:color w:val="000000"/>
                <w:kern w:val="0"/>
                <w:sz w:val="21"/>
                <w:szCs w:val="21"/>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鳌江港西湾作业区码头工程</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3000吨泊位码头3个</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平阳港区建设</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5000吨泊位码头5个</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20</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四</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民用机场</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平阳通用航空机场</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二类通用机场</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五</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b/>
                <w:bCs/>
                <w:sz w:val="21"/>
                <w:szCs w:val="21"/>
              </w:rPr>
            </w:pPr>
            <w:r>
              <w:rPr>
                <w:rFonts w:hint="default" w:ascii="Times New Roman" w:hAnsi="Times New Roman" w:cs="Times New Roman"/>
                <w:b/>
                <w:bCs/>
                <w:sz w:val="21"/>
                <w:szCs w:val="21"/>
              </w:rPr>
              <w:t>枢纽场站</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b/>
                <w:bCs/>
                <w:sz w:val="21"/>
                <w:szCs w:val="21"/>
              </w:rPr>
              <w:t>21.3</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鳌江高铁站综合交通枢纽</w:t>
            </w:r>
            <w:r>
              <w:rPr>
                <w:rFonts w:hint="default" w:ascii="Times New Roman" w:hAnsi="Times New Roman" w:cs="Times New Roman"/>
                <w:sz w:val="21"/>
                <w:szCs w:val="21"/>
              </w:rPr>
              <w:tab/>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一级客运站</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3.5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温州鳌江流域副中心交通枢纽</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平阳客运站</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占地面积60亩</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1"/>
                <w:szCs w:val="21"/>
              </w:rPr>
              <w:t>2</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平阳萧麻物流园建设项目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2.5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海西万鳌物流中心项目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综合服务型货运枢纽，占地面积390亩</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6.8</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73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2775"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平阳北港流园建设项目</w:t>
            </w:r>
          </w:p>
        </w:tc>
        <w:tc>
          <w:tcPr>
            <w:tcW w:w="1032"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新建</w:t>
            </w:r>
          </w:p>
        </w:tc>
        <w:tc>
          <w:tcPr>
            <w:tcW w:w="1608"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textAlignment w:val="auto"/>
              <w:rPr>
                <w:rFonts w:hint="default" w:ascii="Times New Roman" w:hAnsi="Times New Roman" w:cs="Times New Roman"/>
                <w:sz w:val="21"/>
                <w:szCs w:val="21"/>
              </w:rPr>
            </w:pPr>
            <w:r>
              <w:rPr>
                <w:rFonts w:hint="default" w:ascii="Times New Roman" w:hAnsi="Times New Roman" w:cs="Times New Roman"/>
                <w:sz w:val="21"/>
                <w:szCs w:val="21"/>
              </w:rPr>
              <w:t>综合服务型货运枢纽</w:t>
            </w:r>
          </w:p>
        </w:tc>
        <w:tc>
          <w:tcPr>
            <w:tcW w:w="114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eastAsia="宋体" w:cs="Times New Roman"/>
                <w:kern w:val="0"/>
                <w:sz w:val="22"/>
              </w:rPr>
              <w:t>1.5</w:t>
            </w:r>
          </w:p>
        </w:tc>
        <w:tc>
          <w:tcPr>
            <w:tcW w:w="1100"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p>
        </w:tc>
        <w:tc>
          <w:tcPr>
            <w:tcW w:w="1531" w:type="dxa"/>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平阳县交通运输局</w:t>
            </w:r>
          </w:p>
        </w:tc>
      </w:tr>
    </w:tbl>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sectPr>
          <w:footerReference r:id="rId5" w:type="default"/>
          <w:pgSz w:w="11906" w:h="16838"/>
          <w:pgMar w:top="1701" w:right="1474" w:bottom="1417" w:left="1587" w:header="851" w:footer="1417" w:gutter="0"/>
          <w:pgNumType w:fmt="numberInDash"/>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楷体" w:cs="Times New Roman"/>
          <w:i/>
          <w:iCs/>
          <w:szCs w:val="28"/>
        </w:rPr>
      </w:pPr>
      <w:r>
        <w:rPr>
          <w:szCs w:val="28"/>
        </w:rPr>
        <w:drawing>
          <wp:inline distT="0" distB="0" distL="114300" distR="114300">
            <wp:extent cx="11958955" cy="8279765"/>
            <wp:effectExtent l="0" t="0" r="4445" b="6985"/>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27"/>
                    <a:stretch>
                      <a:fillRect/>
                    </a:stretch>
                  </pic:blipFill>
                  <pic:spPr>
                    <a:xfrm>
                      <a:off x="0" y="0"/>
                      <a:ext cx="1195895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9590" cy="8279765"/>
            <wp:effectExtent l="0" t="0" r="3810" b="6985"/>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28"/>
                    <a:stretch>
                      <a:fillRect/>
                    </a:stretch>
                  </pic:blipFill>
                  <pic:spPr>
                    <a:xfrm>
                      <a:off x="0" y="0"/>
                      <a:ext cx="11959590"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7685" cy="8279765"/>
            <wp:effectExtent l="0" t="0" r="5715" b="6985"/>
            <wp:docPr id="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true"/>
                    </pic:cNvPicPr>
                  </pic:nvPicPr>
                  <pic:blipFill>
                    <a:blip r:embed="rId29"/>
                    <a:stretch>
                      <a:fillRect/>
                    </a:stretch>
                  </pic:blipFill>
                  <pic:spPr>
                    <a:xfrm>
                      <a:off x="0" y="0"/>
                      <a:ext cx="1195768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2605" cy="8279765"/>
            <wp:effectExtent l="0" t="0" r="10795" b="6985"/>
            <wp:docPr id="6"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true"/>
                    </pic:cNvPicPr>
                  </pic:nvPicPr>
                  <pic:blipFill>
                    <a:blip r:embed="rId30"/>
                    <a:stretch>
                      <a:fillRect/>
                    </a:stretch>
                  </pic:blipFill>
                  <pic:spPr>
                    <a:xfrm>
                      <a:off x="0" y="0"/>
                      <a:ext cx="1195260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52605" cy="8279765"/>
            <wp:effectExtent l="0" t="0" r="10795" b="6985"/>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pic:cNvPicPr>
                  </pic:nvPicPr>
                  <pic:blipFill>
                    <a:blip r:embed="rId31"/>
                    <a:stretch>
                      <a:fillRect/>
                    </a:stretch>
                  </pic:blipFill>
                  <pic:spPr>
                    <a:xfrm>
                      <a:off x="0" y="0"/>
                      <a:ext cx="11952605" cy="8279765"/>
                    </a:xfrm>
                    <a:prstGeom prst="rect">
                      <a:avLst/>
                    </a:prstGeom>
                    <a:noFill/>
                    <a:ln>
                      <a:noFill/>
                    </a:ln>
                  </pic:spPr>
                </pic:pic>
              </a:graphicData>
            </a:graphic>
          </wp:inline>
        </w:drawing>
      </w:r>
    </w:p>
    <w:p>
      <w:pPr>
        <w:snapToGrid/>
        <w:ind w:firstLine="0" w:firstLineChars="0"/>
        <w:jc w:val="center"/>
        <w:rPr>
          <w:szCs w:val="28"/>
        </w:rPr>
      </w:pPr>
      <w:r>
        <w:rPr>
          <w:szCs w:val="28"/>
        </w:rPr>
        <w:drawing>
          <wp:inline distT="0" distB="0" distL="114300" distR="114300">
            <wp:extent cx="11964035" cy="8279765"/>
            <wp:effectExtent l="0" t="0" r="18415" b="6985"/>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32"/>
                    <a:stretch>
                      <a:fillRect/>
                    </a:stretch>
                  </pic:blipFill>
                  <pic:spPr>
                    <a:xfrm>
                      <a:off x="0" y="0"/>
                      <a:ext cx="11964035" cy="8279765"/>
                    </a:xfrm>
                    <a:prstGeom prst="rect">
                      <a:avLst/>
                    </a:prstGeom>
                    <a:noFill/>
                    <a:ln>
                      <a:noFill/>
                    </a:ln>
                  </pic:spPr>
                </pic:pic>
              </a:graphicData>
            </a:graphic>
          </wp:inline>
        </w:drawing>
      </w:r>
    </w:p>
    <w:p>
      <w:pPr>
        <w:snapToGrid/>
        <w:ind w:firstLine="0" w:firstLineChars="0"/>
        <w:jc w:val="center"/>
        <w:rPr>
          <w:rFonts w:hint="default" w:ascii="Times New Roman" w:hAnsi="Times New Roman" w:eastAsia="楷体" w:cs="Times New Roman"/>
          <w:i/>
          <w:iCs/>
          <w:szCs w:val="28"/>
        </w:rPr>
      </w:pPr>
      <w:r>
        <w:rPr>
          <w:szCs w:val="28"/>
        </w:rPr>
        <w:drawing>
          <wp:inline distT="0" distB="0" distL="114300" distR="114300">
            <wp:extent cx="11953875" cy="8279765"/>
            <wp:effectExtent l="0" t="0" r="9525" b="6985"/>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33"/>
                    <a:stretch>
                      <a:fillRect/>
                    </a:stretch>
                  </pic:blipFill>
                  <pic:spPr>
                    <a:xfrm>
                      <a:off x="0" y="0"/>
                      <a:ext cx="11953875" cy="827976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spacing w:line="240" w:lineRule="auto"/>
        <w:ind w:left="0" w:leftChars="0" w:firstLine="0" w:firstLineChars="0"/>
        <w:rPr>
          <w:rFonts w:hint="default" w:ascii="Times New Roman" w:hAnsi="Times New Roman" w:eastAsia="楷体" w:cs="Times New Roman"/>
          <w:i/>
          <w:iCs/>
          <w:szCs w:val="28"/>
        </w:rPr>
        <w:sectPr>
          <w:headerReference r:id="rId6" w:type="default"/>
          <w:pgSz w:w="23811" w:h="16838" w:orient="landscape"/>
          <w:pgMar w:top="1587" w:right="1474" w:bottom="1474" w:left="1587" w:header="851" w:footer="1417" w:gutter="0"/>
          <w:pgNumType w:fmt="numberInDash"/>
          <w:cols w:space="0" w:num="1"/>
          <w:rtlGutter w:val="0"/>
          <w:docGrid w:type="lines" w:linePitch="312" w:charSpace="0"/>
        </w:sect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ind w:left="0" w:leftChars="0" w:firstLine="0" w:firstLineChars="0"/>
        <w:rPr>
          <w:rFonts w:hint="default" w:ascii="Times New Roman" w:hAnsi="Times New Roman" w:eastAsia="楷体" w:cs="Times New Roman"/>
          <w:i/>
          <w:iCs/>
          <w:szCs w:val="28"/>
        </w:rPr>
      </w:pPr>
    </w:p>
    <w:p>
      <w:pPr>
        <w:pStyle w:val="2"/>
        <w:keepNext w:val="0"/>
        <w:keepLines w:val="0"/>
        <w:pageBreakBefore w:val="0"/>
        <w:widowControl w:val="0"/>
        <w:kinsoku/>
        <w:wordWrap/>
        <w:overflowPunct/>
        <w:topLinePunct w:val="0"/>
        <w:autoSpaceDE/>
        <w:autoSpaceDN/>
        <w:bidi w:val="0"/>
        <w:adjustRightInd/>
        <w:snapToGrid w:val="0"/>
        <w:spacing w:line="400" w:lineRule="exact"/>
        <w:ind w:left="0" w:leftChars="0" w:firstLine="0" w:firstLineChars="0"/>
        <w:textAlignment w:val="auto"/>
        <w:rPr>
          <w:rFonts w:hint="default" w:ascii="Times New Roman" w:hAnsi="Times New Roman" w:eastAsia="楷体" w:cs="Times New Roman"/>
          <w:i/>
          <w:iCs/>
          <w:szCs w:val="28"/>
        </w:rPr>
      </w:pPr>
    </w:p>
    <w:p>
      <w:pPr>
        <w:keepNext w:val="0"/>
        <w:keepLines w:val="0"/>
        <w:widowControl w:val="0"/>
        <w:suppressLineNumbers w:val="0"/>
        <w:spacing w:before="0" w:beforeAutospacing="0" w:after="0" w:afterAutospacing="0" w:line="600" w:lineRule="exact"/>
        <w:ind w:left="1050" w:leftChars="75" w:right="0" w:hanging="840" w:hangingChars="400"/>
        <w:jc w:val="both"/>
        <w:rPr>
          <w:rFonts w:hint="eastAsia" w:ascii="仿宋_GB2312" w:eastAsia="仿宋_GB2312" w:cs="仿宋_GB2312"/>
          <w:color w:val="000000"/>
          <w:sz w:val="28"/>
          <w:szCs w:val="28"/>
          <w:lang w:val="en-US"/>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1312" behindDoc="0" locked="0" layoutInCell="1" allowOverlap="1">
                <wp:simplePos x="0" y="0"/>
                <wp:positionH relativeFrom="column">
                  <wp:posOffset>0</wp:posOffset>
                </wp:positionH>
                <wp:positionV relativeFrom="paragraph">
                  <wp:posOffset>22860</wp:posOffset>
                </wp:positionV>
                <wp:extent cx="5667375" cy="0"/>
                <wp:effectExtent l="0" t="0" r="0" b="0"/>
                <wp:wrapNone/>
                <wp:docPr id="26" name="直线 18"/>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8" o:spid="_x0000_s1026" o:spt="20" style="position:absolute;left:0pt;margin-left:0pt;margin-top:1.8pt;height:0pt;width:446.25pt;z-index:251661312;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WAAAAZHJzL1BLAQIUABQAAAAIAIdO4kBhUUXj0wAAAAQB&#10;AAAPAAAAAAAAAAEAIAAAADgAAABkcnMvZG93bnJldi54bWxQSwECFAAUAAAACACHTuJAEb3iPNEB&#10;AACSAwAADgAAAAAAAAABACAAAAA4AQAAZHJzL2Uyb0RvYy54bWxQSwUGAAAAAAYABgBZAQAAewUA&#10;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抄送：</w:t>
      </w: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2336" behindDoc="0" locked="0" layoutInCell="1" allowOverlap="1">
                <wp:simplePos x="0" y="0"/>
                <wp:positionH relativeFrom="column">
                  <wp:posOffset>0</wp:posOffset>
                </wp:positionH>
                <wp:positionV relativeFrom="paragraph">
                  <wp:posOffset>22860</wp:posOffset>
                </wp:positionV>
                <wp:extent cx="5667375" cy="0"/>
                <wp:effectExtent l="0" t="0" r="0" b="0"/>
                <wp:wrapNone/>
                <wp:docPr id="27" name="直线 19"/>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19" o:spid="_x0000_s1026" o:spt="20" style="position:absolute;left:0pt;margin-left:0pt;margin-top:1.8pt;height:0pt;width:446.25pt;z-index:251662336;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VFF49MAAAAE&#10;AQAADwAAAAAAAAABACAAAAA4AAAAZHJzL2Rvd25yZXYueG1sUEsBAhQAFAAAAAgAh07iQJ+0MxbS&#10;AQAAkgMAAA4AAAAAAAAAAQAgAAAAOAEAAGRycy9lMm9Eb2MueG1sUEsFBgAAAAAGAAYAWQEAAHwF&#10;AA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县委各部门，县人大常委会、县政协办公室，县人武部，县法院，县检察院，各人民团体。</w:t>
      </w:r>
    </w:p>
    <w:p>
      <w:pPr>
        <w:keepNext w:val="0"/>
        <w:keepLines w:val="0"/>
        <w:widowControl w:val="0"/>
        <w:suppressLineNumbers w:val="0"/>
        <w:spacing w:before="0" w:beforeAutospacing="0" w:after="0" w:afterAutospacing="0" w:line="600" w:lineRule="exact"/>
        <w:ind w:left="0" w:right="0" w:firstLine="210" w:firstLineChars="100"/>
        <w:jc w:val="both"/>
        <w:rPr>
          <w:rFonts w:hint="default" w:ascii="Times New Roman" w:hAnsi="Times New Roman" w:eastAsia="楷体" w:cs="Times New Roman"/>
          <w:i/>
          <w:iCs/>
          <w:szCs w:val="28"/>
        </w:rPr>
      </w:pP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59264" behindDoc="0" locked="0" layoutInCell="1" allowOverlap="1">
                <wp:simplePos x="0" y="0"/>
                <wp:positionH relativeFrom="column">
                  <wp:posOffset>0</wp:posOffset>
                </wp:positionH>
                <wp:positionV relativeFrom="paragraph">
                  <wp:posOffset>416560</wp:posOffset>
                </wp:positionV>
                <wp:extent cx="5667375" cy="0"/>
                <wp:effectExtent l="0" t="0" r="0" b="0"/>
                <wp:wrapNone/>
                <wp:docPr id="28" name="直线 20"/>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0" o:spid="_x0000_s1026" o:spt="20" style="position:absolute;left:0pt;margin-left:0pt;margin-top:32.8pt;height:0pt;width:446.25pt;z-index:251659264;mso-width-relative:page;mso-height-relative:page;" filled="f" stroked="t" coordsize="21600,21600" o:gfxdata="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PDG8CvUAAAABgEA&#10;AA8AAAAAAAAAAQAgAAAAOAAAAGRycy9kb3ducmV2LnhtbFBLAQIUABQAAAAIAIdO4kDxF2MwzwEA&#10;AJIDAAAOAAAAAAAAAAEAIAAAADkBAABkcnMvZTJvRG9jLnhtbFBLBQYAAAAABgAGAFkBAAB6BQAA&#10;AAA=&#10;">
                <v:fill on="f" focussize="0,0"/>
                <v:stroke color="#000000" joinstyle="round"/>
                <v:imagedata o:title=""/>
                <o:lock v:ext="edit" aspectratio="f"/>
              </v:line>
            </w:pict>
          </mc:Fallback>
        </mc:AlternateContent>
      </w:r>
      <w:r>
        <w:rPr>
          <w:rFonts w:hint="default" w:ascii="Times New Roman" w:hAnsi="Times New Roman" w:eastAsia="宋体" w:cs="Times New Roman"/>
          <w:kern w:val="2"/>
          <w:sz w:val="21"/>
          <w:szCs w:val="24"/>
          <w:lang w:val="en-US" w:eastAsia="zh-CN" w:bidi="ar"/>
        </w:rPr>
        <mc:AlternateContent>
          <mc:Choice Requires="wps">
            <w:drawing>
              <wp:anchor distT="0" distB="0" distL="114935" distR="114935" simplePos="0" relativeHeight="251660288" behindDoc="0" locked="0" layoutInCell="1" allowOverlap="1">
                <wp:simplePos x="0" y="0"/>
                <wp:positionH relativeFrom="column">
                  <wp:posOffset>0</wp:posOffset>
                </wp:positionH>
                <wp:positionV relativeFrom="paragraph">
                  <wp:posOffset>22860</wp:posOffset>
                </wp:positionV>
                <wp:extent cx="5667375" cy="0"/>
                <wp:effectExtent l="0" t="0" r="0" b="0"/>
                <wp:wrapNone/>
                <wp:docPr id="29" name="直线 21"/>
                <wp:cNvGraphicFramePr/>
                <a:graphic xmlns:a="http://schemas.openxmlformats.org/drawingml/2006/main">
                  <a:graphicData uri="http://schemas.microsoft.com/office/word/2010/wordprocessingShape">
                    <wps:wsp>
                      <wps:cNvCnPr/>
                      <wps:spPr>
                        <a:xfrm>
                          <a:off x="0" y="0"/>
                          <a:ext cx="5667375"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21" o:spid="_x0000_s1026" o:spt="20" style="position:absolute;left:0pt;margin-left:0pt;margin-top:1.8pt;height:0pt;width:446.25pt;z-index:251660288;mso-width-relative:page;mso-height-relative:page;" filled="f" stroked="t" coordsize="21600,21600" o:gfxdata="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FgAAAGRycy9QSwECFAAUAAAACACHTuJAYVFF49MAAAAE&#10;AQAADwAAAAAAAAABACAAAAA4AAAAZHJzL2Rvd25yZXYueG1sUEsBAhQAFAAAAAgAh07iQH8eshrS&#10;AQAAkgMAAA4AAAAAAAAAAQAgAAAAOAEAAGRycy9lMm9Eb2MueG1sUEsFBgAAAAAGAAYAWQEAAHwF&#10;AAAAAA==&#10;">
                <v:fill on="f" focussize="0,0"/>
                <v:stroke color="#000000" joinstyle="round"/>
                <v:imagedata o:title=""/>
                <o:lock v:ext="edit" aspectratio="f"/>
              </v:line>
            </w:pict>
          </mc:Fallback>
        </mc:AlternateContent>
      </w:r>
      <w:r>
        <w:rPr>
          <w:rFonts w:hint="eastAsia" w:ascii="仿宋_GB2312" w:hAnsi="Times New Roman" w:eastAsia="仿宋_GB2312" w:cs="仿宋_GB2312"/>
          <w:color w:val="000000"/>
          <w:kern w:val="2"/>
          <w:sz w:val="28"/>
          <w:szCs w:val="28"/>
          <w:lang w:val="en-US" w:eastAsia="zh-CN" w:bidi="ar"/>
        </w:rPr>
        <w:t xml:space="preserve">平阳县人民政府办公室                    </w:t>
      </w:r>
      <w:r>
        <w:rPr>
          <w:rFonts w:hint="eastAsia" w:ascii="仿宋_GB2312" w:cs="仿宋_GB2312"/>
          <w:color w:val="000000"/>
          <w:kern w:val="2"/>
          <w:sz w:val="28"/>
          <w:szCs w:val="28"/>
          <w:lang w:val="en-US" w:eastAsia="zh-CN" w:bidi="ar"/>
        </w:rPr>
        <w:t xml:space="preserve"> </w:t>
      </w:r>
      <w:r>
        <w:rPr>
          <w:rFonts w:hint="eastAsia" w:ascii="仿宋_GB2312" w:hAnsi="Times New Roman" w:eastAsia="仿宋_GB2312" w:cs="仿宋_GB2312"/>
          <w:color w:val="000000"/>
          <w:kern w:val="2"/>
          <w:sz w:val="28"/>
          <w:szCs w:val="28"/>
          <w:lang w:val="en-US" w:eastAsia="zh-CN" w:bidi="ar"/>
        </w:rPr>
        <w:t xml:space="preserve"> 2022年7月7日印发</w:t>
      </w:r>
    </w:p>
    <w:sectPr>
      <w:pgSz w:w="11915" w:h="16840"/>
      <w:pgMar w:top="1701" w:right="1474" w:bottom="1417" w:left="1587" w:header="851" w:footer="1417" w:gutter="0"/>
      <w:pgNumType w:fmt="numberInDash"/>
      <w:cols w:space="0" w:num="1"/>
      <w:rtlGutter w:val="0"/>
      <w:docGrid w:type="linesAndChars" w:linePitch="40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A00002BF" w:usb1="184F6CFA" w:usb2="00000012" w:usb3="00000000" w:csb0="00040001" w:csb1="00000000"/>
  </w:font>
  <w:font w:name="华文中宋">
    <w:altName w:val="汉仪中宋简"/>
    <w:panose1 w:val="02010600040101010101"/>
    <w:charset w:val="86"/>
    <w:family w:val="auto"/>
    <w:pitch w:val="default"/>
    <w:sig w:usb0="00000000" w:usb1="00000000" w:usb2="00000000" w:usb3="00000000" w:csb0="0004009F" w:csb1="DFD70000"/>
  </w:font>
  <w:font w:name="微软雅黑">
    <w:altName w:val="黑体"/>
    <w:panose1 w:val="020B0503020204020204"/>
    <w:charset w:val="86"/>
    <w:family w:val="swiss"/>
    <w:pitch w:val="default"/>
    <w:sig w:usb0="00000000" w:usb1="0000000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等线">
    <w:altName w:val="华文仿宋"/>
    <w:panose1 w:val="02010600030101010101"/>
    <w:charset w:val="86"/>
    <w:family w:val="auto"/>
    <w:pitch w:val="default"/>
    <w:sig w:usb0="00000000" w:usb1="00000000" w:usb2="00000016" w:usb3="00000000" w:csb0="0004000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方正宋体S-超大字符集">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汉仪中宋简">
    <w:panose1 w:val="02010600000101010101"/>
    <w:charset w:val="86"/>
    <w:family w:val="auto"/>
    <w:pitch w:val="default"/>
    <w:sig w:usb0="00000001" w:usb1="080E0800" w:usb2="00000002"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jc w:val="left"/>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FgAAAGRycy9QSwECFAAUAAAA&#10;CACHTuJAs0lY7tAAAAAFAQAADwAAAAAAAAABACAAAAA4AAAAZHJzL2Rvd25yZXYueG1sUEsBAhQA&#10;FAAAAAgAh07iQKEN8xIdAgAAKwQAAA4AAAAAAAAAAQAgAAAANQEAAGRycy9lMm9Eb2MueG1sUEsF&#10;BgAAAAAGAAYAWQEAAMQFAAAAAA==&#10;">
              <v:fill on="f" focussize="0,0"/>
              <v:stroke on="f" weight="0.5pt"/>
              <v:imagedata o:title=""/>
              <o:lock v:ext="edit" aspectratio="f"/>
              <v:textbox inset="0mm,0mm,0mm,0mm" style="mso-fit-shape-to-text:t;">
                <w:txbxContent>
                  <w:p>
                    <w:pPr>
                      <w:pStyle w:val="10"/>
                      <w:jc w:val="left"/>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ind w:firstLine="361"/>
      <w:jc w:val="right"/>
      <w:rPr>
        <w:b/>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222014"/>
    <w:multiLevelType w:val="multilevel"/>
    <w:tmpl w:val="0522201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1">
    <w:nsid w:val="13857F84"/>
    <w:multiLevelType w:val="multilevel"/>
    <w:tmpl w:val="13857F8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2">
    <w:nsid w:val="34CF16A1"/>
    <w:multiLevelType w:val="multilevel"/>
    <w:tmpl w:val="34CF16A1"/>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3">
    <w:nsid w:val="371D1329"/>
    <w:multiLevelType w:val="multilevel"/>
    <w:tmpl w:val="371D1329"/>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4">
    <w:nsid w:val="380314B3"/>
    <w:multiLevelType w:val="multilevel"/>
    <w:tmpl w:val="380314B3"/>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5">
    <w:nsid w:val="38F6707B"/>
    <w:multiLevelType w:val="multilevel"/>
    <w:tmpl w:val="38F6707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405D72D4"/>
    <w:multiLevelType w:val="multilevel"/>
    <w:tmpl w:val="405D72D4"/>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abstractNum w:abstractNumId="7">
    <w:nsid w:val="53982EC5"/>
    <w:multiLevelType w:val="multilevel"/>
    <w:tmpl w:val="53982EC5"/>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8">
    <w:nsid w:val="6EA0458E"/>
    <w:multiLevelType w:val="multilevel"/>
    <w:tmpl w:val="6EA0458E"/>
    <w:lvl w:ilvl="0" w:tentative="0">
      <w:start w:val="1"/>
      <w:numFmt w:val="chineseCountingThousand"/>
      <w:pStyle w:val="4"/>
      <w:lvlText w:val="%1、"/>
      <w:lvlJc w:val="left"/>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1" w:tentative="0">
      <w:start w:val="1"/>
      <w:numFmt w:val="chineseCountingThousand"/>
      <w:pStyle w:val="5"/>
      <w:lvlText w:val="（%2） "/>
      <w:lvlJc w:val="left"/>
      <w:rPr>
        <w:rFonts w:hint="eastAsia" w:cs="Times New Roman"/>
      </w:rPr>
    </w:lvl>
    <w:lvl w:ilvl="2" w:tentative="0">
      <w:start w:val="1"/>
      <w:numFmt w:val="decimal"/>
      <w:pStyle w:val="6"/>
      <w:isLgl/>
      <w:lvlText w:val="%3."/>
      <w:lvlJc w:val="left"/>
      <w:rPr>
        <w:rFonts w:ascii="Times New Roman" w:hAnsi="Times New Roman" w:eastAsia="仿宋" w:cs="Times New Roman"/>
      </w:rPr>
    </w:lvl>
    <w:lvl w:ilvl="3" w:tentative="0">
      <w:start w:val="1"/>
      <w:numFmt w:val="decimal"/>
      <w:pStyle w:val="7"/>
      <w:lvlText w:val="（%4）"/>
      <w:lvlJc w:val="left"/>
      <w:rPr>
        <w:rFonts w:hint="eastAsia" w:cs="Times New Roman"/>
      </w:rPr>
    </w:lvl>
    <w:lvl w:ilvl="4" w:tentative="0">
      <w:start w:val="1"/>
      <w:numFmt w:val="decimal"/>
      <w:lvlRestart w:val="0"/>
      <w:isLgl/>
      <w:lvlText w:val="表%1-%5"/>
      <w:lvlJc w:val="left"/>
      <w:pPr>
        <w:ind w:left="8925" w:hanging="420"/>
      </w:pPr>
      <w:rPr>
        <w:rFonts w:hint="eastAsia"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5" w:tentative="0">
      <w:start w:val="1"/>
      <w:numFmt w:val="decimal"/>
      <w:lvlRestart w:val="0"/>
      <w:pStyle w:val="21"/>
      <w:isLgl/>
      <w:lvlText w:val="图%1-%6 "/>
      <w:lvlJc w:val="right"/>
      <w:pPr>
        <w:ind w:left="3255"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color="000000"/>
        <w:vertAlign w:val="baseline"/>
      </w:rPr>
    </w:lvl>
    <w:lvl w:ilvl="6" w:tentative="0">
      <w:start w:val="1"/>
      <w:numFmt w:val="none"/>
      <w:lvlRestart w:val="0"/>
      <w:isLgl/>
      <w:lvlText w:val="表%1-%6 "/>
      <w:lvlJc w:val="left"/>
      <w:rPr>
        <w:rFonts w:hint="eastAsia" w:cs="Times New Roman"/>
      </w:rPr>
    </w:lvl>
    <w:lvl w:ilvl="7" w:tentative="0">
      <w:start w:val="1"/>
      <w:numFmt w:val="lowerLetter"/>
      <w:lvlText w:val="%8)"/>
      <w:lvlJc w:val="left"/>
      <w:rPr>
        <w:rFonts w:hint="eastAsia" w:cs="Times New Roman"/>
      </w:rPr>
    </w:lvl>
    <w:lvl w:ilvl="8" w:tentative="0">
      <w:start w:val="1"/>
      <w:numFmt w:val="lowerRoman"/>
      <w:lvlText w:val="%9."/>
      <w:lvlJc w:val="right"/>
      <w:pPr>
        <w:ind w:left="3780" w:hanging="420"/>
      </w:pPr>
      <w:rPr>
        <w:rFonts w:hint="eastAsia" w:cs="Times New Roman"/>
      </w:rPr>
    </w:lvl>
  </w:abstractNum>
  <w:abstractNum w:abstractNumId="9">
    <w:nsid w:val="6F2B2369"/>
    <w:multiLevelType w:val="multilevel"/>
    <w:tmpl w:val="6F2B2369"/>
    <w:lvl w:ilvl="0" w:tentative="0">
      <w:start w:val="1"/>
      <w:numFmt w:val="lowerRoman"/>
      <w:lvlText w:val="%1."/>
      <w:lvlJc w:val="right"/>
      <w:pPr>
        <w:ind w:left="1063" w:hanging="420"/>
      </w:pPr>
      <w:rPr>
        <w:rFonts w:cs="Times New Roman"/>
      </w:rPr>
    </w:lvl>
    <w:lvl w:ilvl="1" w:tentative="0">
      <w:start w:val="1"/>
      <w:numFmt w:val="lowerLetter"/>
      <w:lvlText w:val="%2)"/>
      <w:lvlJc w:val="left"/>
      <w:pPr>
        <w:ind w:left="1483" w:hanging="420"/>
      </w:pPr>
      <w:rPr>
        <w:rFonts w:cs="Times New Roman"/>
      </w:rPr>
    </w:lvl>
    <w:lvl w:ilvl="2" w:tentative="0">
      <w:start w:val="1"/>
      <w:numFmt w:val="lowerRoman"/>
      <w:lvlText w:val="%3."/>
      <w:lvlJc w:val="right"/>
      <w:pPr>
        <w:ind w:left="1903" w:hanging="420"/>
      </w:pPr>
      <w:rPr>
        <w:rFonts w:cs="Times New Roman"/>
      </w:rPr>
    </w:lvl>
    <w:lvl w:ilvl="3" w:tentative="0">
      <w:start w:val="1"/>
      <w:numFmt w:val="decimal"/>
      <w:lvlText w:val="%4."/>
      <w:lvlJc w:val="left"/>
      <w:pPr>
        <w:ind w:left="2323" w:hanging="420"/>
      </w:pPr>
      <w:rPr>
        <w:rFonts w:cs="Times New Roman"/>
      </w:rPr>
    </w:lvl>
    <w:lvl w:ilvl="4" w:tentative="0">
      <w:start w:val="1"/>
      <w:numFmt w:val="lowerLetter"/>
      <w:lvlText w:val="%5)"/>
      <w:lvlJc w:val="left"/>
      <w:pPr>
        <w:ind w:left="2743" w:hanging="420"/>
      </w:pPr>
      <w:rPr>
        <w:rFonts w:cs="Times New Roman"/>
      </w:rPr>
    </w:lvl>
    <w:lvl w:ilvl="5" w:tentative="0">
      <w:start w:val="1"/>
      <w:numFmt w:val="lowerRoman"/>
      <w:lvlText w:val="%6."/>
      <w:lvlJc w:val="right"/>
      <w:pPr>
        <w:ind w:left="3163" w:hanging="420"/>
      </w:pPr>
      <w:rPr>
        <w:rFonts w:cs="Times New Roman"/>
      </w:rPr>
    </w:lvl>
    <w:lvl w:ilvl="6" w:tentative="0">
      <w:start w:val="1"/>
      <w:numFmt w:val="decimal"/>
      <w:lvlText w:val="%7."/>
      <w:lvlJc w:val="left"/>
      <w:pPr>
        <w:ind w:left="3583" w:hanging="420"/>
      </w:pPr>
      <w:rPr>
        <w:rFonts w:cs="Times New Roman"/>
      </w:rPr>
    </w:lvl>
    <w:lvl w:ilvl="7" w:tentative="0">
      <w:start w:val="1"/>
      <w:numFmt w:val="lowerLetter"/>
      <w:lvlText w:val="%8)"/>
      <w:lvlJc w:val="left"/>
      <w:pPr>
        <w:ind w:left="4003" w:hanging="420"/>
      </w:pPr>
      <w:rPr>
        <w:rFonts w:cs="Times New Roman"/>
      </w:rPr>
    </w:lvl>
    <w:lvl w:ilvl="8" w:tentative="0">
      <w:start w:val="1"/>
      <w:numFmt w:val="lowerRoman"/>
      <w:lvlText w:val="%9."/>
      <w:lvlJc w:val="right"/>
      <w:pPr>
        <w:ind w:left="4423" w:hanging="420"/>
      </w:pPr>
      <w:rPr>
        <w:rFonts w:cs="Times New Roman"/>
      </w:rPr>
    </w:lvl>
  </w:abstractNum>
  <w:abstractNum w:abstractNumId="10">
    <w:nsid w:val="71464E4B"/>
    <w:multiLevelType w:val="multilevel"/>
    <w:tmpl w:val="71464E4B"/>
    <w:lvl w:ilvl="0" w:tentative="0">
      <w:start w:val="1"/>
      <w:numFmt w:val="bullet"/>
      <w:lvlText w:val=""/>
      <w:lvlJc w:val="left"/>
      <w:pPr>
        <w:ind w:left="1060" w:hanging="420"/>
      </w:pPr>
      <w:rPr>
        <w:rFonts w:hint="default" w:ascii="Wingdings" w:hAnsi="Wingdings"/>
      </w:rPr>
    </w:lvl>
    <w:lvl w:ilvl="1" w:tentative="0">
      <w:start w:val="1"/>
      <w:numFmt w:val="bullet"/>
      <w:lvlText w:val=""/>
      <w:lvlJc w:val="left"/>
      <w:pPr>
        <w:ind w:left="1480" w:hanging="420"/>
      </w:pPr>
      <w:rPr>
        <w:rFonts w:hint="default" w:ascii="Wingdings" w:hAnsi="Wingdings"/>
      </w:rPr>
    </w:lvl>
    <w:lvl w:ilvl="2" w:tentative="0">
      <w:start w:val="1"/>
      <w:numFmt w:val="bullet"/>
      <w:lvlText w:val=""/>
      <w:lvlJc w:val="left"/>
      <w:pPr>
        <w:ind w:left="1900" w:hanging="420"/>
      </w:pPr>
      <w:rPr>
        <w:rFonts w:hint="default" w:ascii="Wingdings" w:hAnsi="Wingdings"/>
      </w:rPr>
    </w:lvl>
    <w:lvl w:ilvl="3" w:tentative="0">
      <w:start w:val="1"/>
      <w:numFmt w:val="bullet"/>
      <w:lvlText w:val=""/>
      <w:lvlJc w:val="left"/>
      <w:pPr>
        <w:ind w:left="2320" w:hanging="420"/>
      </w:pPr>
      <w:rPr>
        <w:rFonts w:hint="default" w:ascii="Wingdings" w:hAnsi="Wingdings"/>
      </w:rPr>
    </w:lvl>
    <w:lvl w:ilvl="4" w:tentative="0">
      <w:start w:val="1"/>
      <w:numFmt w:val="bullet"/>
      <w:lvlText w:val=""/>
      <w:lvlJc w:val="left"/>
      <w:pPr>
        <w:ind w:left="2740" w:hanging="420"/>
      </w:pPr>
      <w:rPr>
        <w:rFonts w:hint="default" w:ascii="Wingdings" w:hAnsi="Wingdings"/>
      </w:rPr>
    </w:lvl>
    <w:lvl w:ilvl="5" w:tentative="0">
      <w:start w:val="1"/>
      <w:numFmt w:val="bullet"/>
      <w:lvlText w:val=""/>
      <w:lvlJc w:val="left"/>
      <w:pPr>
        <w:ind w:left="3160" w:hanging="420"/>
      </w:pPr>
      <w:rPr>
        <w:rFonts w:hint="default" w:ascii="Wingdings" w:hAnsi="Wingdings"/>
      </w:rPr>
    </w:lvl>
    <w:lvl w:ilvl="6" w:tentative="0">
      <w:start w:val="1"/>
      <w:numFmt w:val="bullet"/>
      <w:lvlText w:val=""/>
      <w:lvlJc w:val="left"/>
      <w:pPr>
        <w:ind w:left="3580" w:hanging="420"/>
      </w:pPr>
      <w:rPr>
        <w:rFonts w:hint="default" w:ascii="Wingdings" w:hAnsi="Wingdings"/>
      </w:rPr>
    </w:lvl>
    <w:lvl w:ilvl="7" w:tentative="0">
      <w:start w:val="1"/>
      <w:numFmt w:val="bullet"/>
      <w:lvlText w:val=""/>
      <w:lvlJc w:val="left"/>
      <w:pPr>
        <w:ind w:left="4000" w:hanging="420"/>
      </w:pPr>
      <w:rPr>
        <w:rFonts w:hint="default" w:ascii="Wingdings" w:hAnsi="Wingdings"/>
      </w:rPr>
    </w:lvl>
    <w:lvl w:ilvl="8" w:tentative="0">
      <w:start w:val="1"/>
      <w:numFmt w:val="bullet"/>
      <w:lvlText w:val=""/>
      <w:lvlJc w:val="left"/>
      <w:pPr>
        <w:ind w:left="4420" w:hanging="420"/>
      </w:pPr>
      <w:rPr>
        <w:rFonts w:hint="default" w:ascii="Wingdings" w:hAnsi="Wingdings"/>
      </w:rPr>
    </w:lvl>
  </w:abstractNum>
  <w:num w:numId="1">
    <w:abstractNumId w:val="8"/>
  </w:num>
  <w:num w:numId="2">
    <w:abstractNumId w:val="5"/>
  </w:num>
  <w:num w:numId="3">
    <w:abstractNumId w:val="0"/>
  </w:num>
  <w:num w:numId="4">
    <w:abstractNumId w:val="10"/>
  </w:num>
  <w:num w:numId="5">
    <w:abstractNumId w:val="3"/>
  </w:num>
  <w:num w:numId="6">
    <w:abstractNumId w:val="7"/>
  </w:num>
  <w:num w:numId="7">
    <w:abstractNumId w:val="1"/>
  </w:num>
  <w:num w:numId="8">
    <w:abstractNumId w:val="9"/>
  </w:num>
  <w:num w:numId="9">
    <w:abstractNumId w:val="2"/>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10"/>
  <w:bordersDoNotSurroundHeader w:val="false"/>
  <w:bordersDoNotSurroundFooter w:val="false"/>
  <w:documentProtection w:enforcement="0"/>
  <w:defaultTabStop w:val="419"/>
  <w:drawingGridVerticalSpacing w:val="156"/>
  <w:displayHorizontalDrawingGridEvery w:val="1"/>
  <w:displayVerticalDrawingGridEvery w:val="1"/>
  <w:noPunctuationKerning w:val="true"/>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hYTNiNjhlNzI2NmIwYjk2ZDM3NDE4ZmI1ZjBlNTQifQ=="/>
  </w:docVars>
  <w:rsids>
    <w:rsidRoot w:val="00172A27"/>
    <w:rsid w:val="038247D1"/>
    <w:rsid w:val="0EB5050E"/>
    <w:rsid w:val="12870963"/>
    <w:rsid w:val="177597A6"/>
    <w:rsid w:val="1BE20401"/>
    <w:rsid w:val="1BFD51C1"/>
    <w:rsid w:val="26EF78A9"/>
    <w:rsid w:val="2ACA2711"/>
    <w:rsid w:val="3C9A7D03"/>
    <w:rsid w:val="4B3B4F57"/>
    <w:rsid w:val="4E437F1C"/>
    <w:rsid w:val="4F486BD6"/>
    <w:rsid w:val="6DDF0C76"/>
    <w:rsid w:val="6DF640CD"/>
    <w:rsid w:val="6EE35398"/>
    <w:rsid w:val="72EB29BA"/>
    <w:rsid w:val="73036113"/>
    <w:rsid w:val="76CDFB08"/>
    <w:rsid w:val="7DC70768"/>
    <w:rsid w:val="7F846648"/>
    <w:rsid w:val="7F9A1B6C"/>
    <w:rsid w:val="E971CB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99" w:semiHidden="0" w:name="toc 1"/>
    <w:lsdException w:qFormat="1" w:unhideWhenUsed="0" w:uiPriority="9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200" w:firstLineChars="200"/>
      <w:jc w:val="both"/>
    </w:pPr>
    <w:rPr>
      <w:rFonts w:ascii="Times New Roman" w:hAnsi="Times New Roman" w:eastAsia="仿宋_GB2312" w:cs="Times New Roman"/>
      <w:kern w:val="2"/>
      <w:sz w:val="28"/>
      <w:szCs w:val="22"/>
      <w:lang w:val="en-US" w:eastAsia="zh-CN" w:bidi="ar-SA"/>
    </w:rPr>
  </w:style>
  <w:style w:type="paragraph" w:styleId="4">
    <w:name w:val="heading 1"/>
    <w:basedOn w:val="1"/>
    <w:next w:val="1"/>
    <w:qFormat/>
    <w:uiPriority w:val="99"/>
    <w:pPr>
      <w:keepNext/>
      <w:keepLines/>
      <w:numPr>
        <w:ilvl w:val="0"/>
        <w:numId w:val="1"/>
      </w:numPr>
      <w:spacing w:beforeLines="50" w:afterLines="30"/>
      <w:ind w:firstLine="0" w:firstLineChars="0"/>
      <w:jc w:val="left"/>
      <w:outlineLvl w:val="0"/>
    </w:pPr>
    <w:rPr>
      <w:rFonts w:eastAsia="黑体"/>
      <w:b/>
      <w:bCs/>
      <w:kern w:val="44"/>
      <w:szCs w:val="44"/>
    </w:rPr>
  </w:style>
  <w:style w:type="paragraph" w:styleId="5">
    <w:name w:val="heading 2"/>
    <w:basedOn w:val="1"/>
    <w:next w:val="1"/>
    <w:qFormat/>
    <w:uiPriority w:val="99"/>
    <w:pPr>
      <w:keepNext/>
      <w:keepLines/>
      <w:numPr>
        <w:ilvl w:val="1"/>
        <w:numId w:val="1"/>
      </w:numPr>
      <w:spacing w:beforeLines="50" w:afterLines="50"/>
      <w:ind w:firstLine="0" w:firstLineChars="0"/>
      <w:outlineLvl w:val="1"/>
    </w:pPr>
    <w:rPr>
      <w:rFonts w:eastAsia="楷体"/>
      <w:b/>
      <w:bCs/>
      <w:szCs w:val="32"/>
    </w:rPr>
  </w:style>
  <w:style w:type="paragraph" w:styleId="6">
    <w:name w:val="heading 3"/>
    <w:basedOn w:val="1"/>
    <w:next w:val="1"/>
    <w:qFormat/>
    <w:uiPriority w:val="99"/>
    <w:pPr>
      <w:keepNext/>
      <w:keepLines/>
      <w:numPr>
        <w:ilvl w:val="2"/>
        <w:numId w:val="1"/>
      </w:numPr>
      <w:spacing w:beforeLines="50" w:afterLines="50"/>
      <w:ind w:firstLine="0" w:firstLineChars="0"/>
      <w:outlineLvl w:val="2"/>
    </w:pPr>
    <w:rPr>
      <w:rFonts w:ascii="黑体" w:hAnsi="黑体" w:eastAsia="仿宋"/>
      <w:b/>
      <w:bCs/>
      <w:szCs w:val="32"/>
    </w:rPr>
  </w:style>
  <w:style w:type="paragraph" w:styleId="7">
    <w:name w:val="heading 4"/>
    <w:basedOn w:val="1"/>
    <w:next w:val="1"/>
    <w:qFormat/>
    <w:uiPriority w:val="99"/>
    <w:pPr>
      <w:keepNext/>
      <w:keepLines/>
      <w:numPr>
        <w:ilvl w:val="3"/>
        <w:numId w:val="1"/>
      </w:numPr>
      <w:spacing w:before="100" w:after="100"/>
      <w:ind w:firstLine="0" w:firstLineChars="0"/>
      <w:outlineLvl w:val="3"/>
    </w:pPr>
    <w:rPr>
      <w:rFonts w:eastAsia="仿宋"/>
      <w:b/>
      <w:bCs/>
      <w:szCs w:val="28"/>
    </w:rPr>
  </w:style>
  <w:style w:type="paragraph" w:styleId="8">
    <w:name w:val="heading 5"/>
    <w:basedOn w:val="1"/>
    <w:next w:val="1"/>
    <w:qFormat/>
    <w:uiPriority w:val="99"/>
    <w:pPr>
      <w:keepNext/>
      <w:keepLines/>
      <w:spacing w:before="280" w:after="290" w:line="376" w:lineRule="auto"/>
      <w:outlineLvl w:val="4"/>
    </w:pPr>
    <w:rPr>
      <w:b/>
      <w:bCs/>
      <w:szCs w:val="28"/>
    </w:rPr>
  </w:style>
  <w:style w:type="character" w:default="1" w:styleId="17">
    <w:name w:val="Default Paragraph Font"/>
    <w:semiHidden/>
    <w:qFormat/>
    <w:uiPriority w:val="0"/>
  </w:style>
  <w:style w:type="table" w:default="1" w:styleId="16">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w:basedOn w:val="3"/>
    <w:semiHidden/>
    <w:qFormat/>
    <w:uiPriority w:val="99"/>
    <w:pPr>
      <w:spacing w:line="600" w:lineRule="exact"/>
      <w:ind w:firstLine="880"/>
    </w:pPr>
  </w:style>
  <w:style w:type="paragraph" w:styleId="3">
    <w:name w:val="Body Text"/>
    <w:basedOn w:val="1"/>
    <w:semiHidden/>
    <w:qFormat/>
    <w:uiPriority w:val="99"/>
  </w:style>
  <w:style w:type="paragraph" w:styleId="9">
    <w:name w:val="Body Text Indent"/>
    <w:basedOn w:val="1"/>
    <w:qFormat/>
    <w:uiPriority w:val="99"/>
    <w:pPr>
      <w:spacing w:after="120"/>
      <w:ind w:left="420" w:leftChars="200"/>
    </w:pPr>
  </w:style>
  <w:style w:type="paragraph" w:styleId="10">
    <w:name w:val="footer"/>
    <w:basedOn w:val="1"/>
    <w:link w:val="24"/>
    <w:qFormat/>
    <w:uiPriority w:val="99"/>
    <w:pPr>
      <w:tabs>
        <w:tab w:val="center" w:pos="4153"/>
        <w:tab w:val="right" w:pos="8306"/>
      </w:tabs>
      <w:jc w:val="left"/>
    </w:pPr>
    <w:rPr>
      <w:rFonts w:eastAsia="宋体"/>
      <w:kern w:val="0"/>
      <w:sz w:val="18"/>
      <w:szCs w:val="18"/>
    </w:rPr>
  </w:style>
  <w:style w:type="paragraph" w:styleId="11">
    <w:name w:val="header"/>
    <w:basedOn w:val="1"/>
    <w:qFormat/>
    <w:uiPriority w:val="99"/>
    <w:pPr>
      <w:pBdr>
        <w:bottom w:val="single" w:color="auto" w:sz="6" w:space="1"/>
      </w:pBdr>
      <w:tabs>
        <w:tab w:val="center" w:pos="4153"/>
        <w:tab w:val="right" w:pos="8306"/>
      </w:tabs>
      <w:jc w:val="center"/>
    </w:pPr>
    <w:rPr>
      <w:rFonts w:eastAsia="宋体"/>
      <w:kern w:val="0"/>
      <w:sz w:val="18"/>
      <w:szCs w:val="18"/>
    </w:rPr>
  </w:style>
  <w:style w:type="paragraph" w:styleId="12">
    <w:name w:val="toc 1"/>
    <w:basedOn w:val="1"/>
    <w:next w:val="1"/>
    <w:qFormat/>
    <w:uiPriority w:val="99"/>
    <w:pPr>
      <w:spacing w:before="120"/>
      <w:jc w:val="left"/>
    </w:pPr>
    <w:rPr>
      <w:rFonts w:ascii="Calibri" w:hAnsi="Calibri"/>
      <w:b/>
      <w:bCs/>
      <w:i/>
      <w:iCs/>
      <w:sz w:val="24"/>
      <w:szCs w:val="24"/>
    </w:rPr>
  </w:style>
  <w:style w:type="paragraph" w:styleId="13">
    <w:name w:val="toc 2"/>
    <w:basedOn w:val="1"/>
    <w:next w:val="1"/>
    <w:qFormat/>
    <w:uiPriority w:val="99"/>
    <w:pPr>
      <w:spacing w:before="120"/>
      <w:ind w:left="320"/>
      <w:jc w:val="left"/>
    </w:pPr>
    <w:rPr>
      <w:rFonts w:ascii="Calibri" w:hAnsi="Calibri"/>
      <w:b/>
      <w:bCs/>
      <w:sz w:val="22"/>
    </w:rPr>
  </w:style>
  <w:style w:type="paragraph" w:styleId="14">
    <w:name w:val="Normal (Web)"/>
    <w:basedOn w:val="1"/>
    <w:qFormat/>
    <w:uiPriority w:val="99"/>
    <w:pPr>
      <w:widowControl/>
      <w:snapToGrid/>
      <w:spacing w:before="100" w:beforeAutospacing="1" w:after="100" w:afterAutospacing="1"/>
      <w:ind w:firstLine="0" w:firstLineChars="0"/>
      <w:jc w:val="left"/>
    </w:pPr>
    <w:rPr>
      <w:rFonts w:ascii="宋体" w:hAnsi="宋体" w:eastAsia="宋体" w:cs="宋体"/>
      <w:kern w:val="0"/>
      <w:sz w:val="24"/>
      <w:szCs w:val="24"/>
    </w:rPr>
  </w:style>
  <w:style w:type="paragraph" w:styleId="15">
    <w:name w:val="Body Text First Indent 2"/>
    <w:basedOn w:val="9"/>
    <w:qFormat/>
    <w:uiPriority w:val="99"/>
    <w:pPr>
      <w:snapToGrid/>
      <w:spacing w:line="240" w:lineRule="auto"/>
      <w:ind w:firstLine="420"/>
    </w:pPr>
    <w:rPr>
      <w:rFonts w:eastAsia="宋体"/>
      <w:sz w:val="21"/>
      <w:szCs w:val="21"/>
    </w:rPr>
  </w:style>
  <w:style w:type="character" w:styleId="18">
    <w:name w:val="page number"/>
    <w:basedOn w:val="17"/>
    <w:qFormat/>
    <w:uiPriority w:val="0"/>
    <w:rPr>
      <w:rFonts w:hint="default" w:ascii="Times New Roman" w:hAnsi="Times New Roman" w:cs="Times New Roman"/>
    </w:rPr>
  </w:style>
  <w:style w:type="character" w:styleId="19">
    <w:name w:val="Hyperlink"/>
    <w:basedOn w:val="17"/>
    <w:qFormat/>
    <w:uiPriority w:val="99"/>
    <w:rPr>
      <w:rFonts w:cs="Times New Roman"/>
      <w:color w:val="0000FF"/>
      <w:u w:val="single"/>
    </w:rPr>
  </w:style>
  <w:style w:type="paragraph" w:styleId="20">
    <w:name w:val="List Paragraph"/>
    <w:basedOn w:val="1"/>
    <w:qFormat/>
    <w:uiPriority w:val="99"/>
    <w:pPr>
      <w:ind w:firstLine="420"/>
    </w:pPr>
  </w:style>
  <w:style w:type="paragraph" w:customStyle="1" w:styleId="21">
    <w:name w:val="图片标题"/>
    <w:qFormat/>
    <w:uiPriority w:val="99"/>
    <w:pPr>
      <w:numPr>
        <w:ilvl w:val="5"/>
        <w:numId w:val="1"/>
      </w:numPr>
      <w:jc w:val="center"/>
    </w:pPr>
    <w:rPr>
      <w:rFonts w:ascii="Times New Roman" w:hAnsi="Times New Roman" w:eastAsia="黑体" w:cs="Times New Roman"/>
      <w:kern w:val="2"/>
      <w:sz w:val="22"/>
      <w:szCs w:val="20"/>
      <w:lang w:val="en-US" w:eastAsia="zh-CN" w:bidi="ar-SA"/>
    </w:rPr>
  </w:style>
  <w:style w:type="paragraph" w:customStyle="1" w:styleId="22">
    <w:name w:val="表格文字"/>
    <w:basedOn w:val="1"/>
    <w:qFormat/>
    <w:uiPriority w:val="99"/>
    <w:pPr>
      <w:adjustRightInd w:val="0"/>
      <w:spacing w:line="312" w:lineRule="auto"/>
      <w:ind w:firstLine="0" w:firstLineChars="0"/>
      <w:jc w:val="center"/>
    </w:pPr>
    <w:rPr>
      <w:sz w:val="22"/>
      <w:szCs w:val="20"/>
    </w:rPr>
  </w:style>
  <w:style w:type="paragraph" w:customStyle="1" w:styleId="23">
    <w:name w:val="my"/>
    <w:basedOn w:val="1"/>
    <w:qFormat/>
    <w:uiPriority w:val="99"/>
    <w:pPr>
      <w:widowControl/>
      <w:tabs>
        <w:tab w:val="left" w:pos="0"/>
      </w:tabs>
      <w:adjustRightInd w:val="0"/>
      <w:snapToGrid/>
      <w:spacing w:line="560" w:lineRule="exact"/>
    </w:pPr>
    <w:rPr>
      <w:rFonts w:eastAsia="华文楷体"/>
      <w:kern w:val="0"/>
      <w:szCs w:val="20"/>
    </w:rPr>
  </w:style>
  <w:style w:type="character" w:customStyle="1" w:styleId="24">
    <w:name w:val="Footer Char"/>
    <w:basedOn w:val="17"/>
    <w:link w:val="10"/>
    <w:qFormat/>
    <w:uiPriority w:val="0"/>
    <w:rPr>
      <w:sz w:val="18"/>
      <w:szCs w:val="18"/>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6.jpe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NUL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32012</Words>
  <Characters>34431</Characters>
  <Lines>1</Lines>
  <Paragraphs>1</Paragraphs>
  <TotalTime>10</TotalTime>
  <ScaleCrop>false</ScaleCrop>
  <LinksUpToDate>false</LinksUpToDate>
  <CharactersWithSpaces>34715</CharactersWithSpaces>
  <Application>WPS Office_11.8.2.9831_F1E327BC-269C-435d-A152-05C5408002CA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2022-06-17T18:25:00Z</dcterms:created>
  <dc:creator>筱钰</dc:creator>
  <cp:lastModifiedBy>greatwall</cp:lastModifiedBy>
  <cp:lastPrinted>2022-06-17T22:55:00Z</cp:lastPrinted>
  <dcterms:modified xsi:type="dcterms:W3CDTF">2023-01-16T16:47:58Z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2052-11.8.2.9831</vt:lpwstr>
  </property>
  <property fmtid="{D5CDD505-2E9C-101B-9397-08002B2CF9AE}" pid="3" name="ICV">
    <vt:lpwstr>011C0802F1D6414CAD5C010928B05A62</vt:lpwstr>
  </property>
</Properties>
</file>