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71" w:rsidRDefault="00D74771" w:rsidP="00D74771">
      <w:pPr>
        <w:spacing w:line="500" w:lineRule="exact"/>
        <w:rPr>
          <w:rFonts w:ascii="仿宋_GB2312" w:eastAsia="仿宋_GB2312" w:hint="eastAsia"/>
          <w:color w:val="000000"/>
          <w:kern w:val="0"/>
          <w:sz w:val="32"/>
          <w:szCs w:val="32"/>
        </w:rPr>
      </w:pPr>
      <w:r>
        <w:rPr>
          <w:rFonts w:ascii="仿宋_GB2312" w:eastAsia="仿宋_GB2312" w:hint="eastAsia"/>
          <w:color w:val="000000"/>
          <w:kern w:val="0"/>
          <w:sz w:val="32"/>
          <w:szCs w:val="32"/>
        </w:rPr>
        <w:t>附件：</w:t>
      </w:r>
    </w:p>
    <w:p w:rsidR="00D74771" w:rsidRDefault="00D74771" w:rsidP="00D74771">
      <w:pPr>
        <w:spacing w:line="700" w:lineRule="exact"/>
        <w:jc w:val="center"/>
        <w:rPr>
          <w:rFonts w:eastAsia="方正小标宋_GBK"/>
          <w:sz w:val="44"/>
          <w:szCs w:val="44"/>
        </w:rPr>
      </w:pPr>
      <w:r>
        <w:rPr>
          <w:rFonts w:eastAsia="方正小标宋_GBK"/>
          <w:sz w:val="44"/>
          <w:szCs w:val="44"/>
        </w:rPr>
        <w:t>2021</w:t>
      </w:r>
      <w:r>
        <w:rPr>
          <w:rFonts w:eastAsia="方正小标宋_GBK"/>
          <w:sz w:val="44"/>
          <w:szCs w:val="44"/>
        </w:rPr>
        <w:t>年度平阳县废弃矿山生态环境治理经费拨付表</w:t>
      </w:r>
    </w:p>
    <w:p w:rsidR="00D74771" w:rsidRDefault="00D74771" w:rsidP="00D74771">
      <w:pPr>
        <w:wordWrap w:val="0"/>
        <w:spacing w:line="400" w:lineRule="exact"/>
        <w:jc w:val="center"/>
        <w:rPr>
          <w:rFonts w:ascii="仿宋_GB2312" w:eastAsia="仿宋_GB2312" w:hAnsi="仿宋_GB2312" w:cs="仿宋_GB2312" w:hint="eastAsia"/>
          <w:sz w:val="32"/>
          <w:szCs w:val="32"/>
        </w:rPr>
      </w:pPr>
      <w:r>
        <w:rPr>
          <w:rFonts w:hint="eastAsia"/>
        </w:rPr>
        <w:t xml:space="preserve">                                                                                      </w:t>
      </w:r>
      <w:r>
        <w:rPr>
          <w:rFonts w:hint="eastAsia"/>
          <w:sz w:val="30"/>
          <w:szCs w:val="30"/>
        </w:rPr>
        <w:t xml:space="preserve">                    </w:t>
      </w:r>
      <w:r>
        <w:rPr>
          <w:rFonts w:ascii="仿宋_GB2312" w:eastAsia="仿宋_GB2312" w:hAnsi="仿宋_GB2312" w:cs="仿宋_GB2312" w:hint="eastAsia"/>
          <w:sz w:val="32"/>
          <w:szCs w:val="32"/>
        </w:rPr>
        <w:t xml:space="preserve"> 单位：万元</w:t>
      </w: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
        <w:gridCol w:w="5264"/>
        <w:gridCol w:w="3221"/>
        <w:gridCol w:w="1492"/>
        <w:gridCol w:w="3637"/>
      </w:tblGrid>
      <w:tr w:rsidR="00D74771" w:rsidTr="006C2214">
        <w:trPr>
          <w:trHeight w:val="579"/>
        </w:trPr>
        <w:tc>
          <w:tcPr>
            <w:tcW w:w="986" w:type="dxa"/>
            <w:vAlign w:val="center"/>
          </w:tcPr>
          <w:p w:rsidR="00D74771" w:rsidRDefault="00D74771" w:rsidP="006C2214">
            <w:pPr>
              <w:jc w:val="center"/>
              <w:rPr>
                <w:rFonts w:ascii="仿宋" w:eastAsia="仿宋" w:hAnsi="仿宋" w:cs="仿宋" w:hint="eastAsia"/>
                <w:sz w:val="24"/>
              </w:rPr>
            </w:pPr>
            <w:r>
              <w:rPr>
                <w:rFonts w:ascii="仿宋" w:eastAsia="仿宋" w:hAnsi="仿宋" w:cs="仿宋" w:hint="eastAsia"/>
                <w:sz w:val="24"/>
              </w:rPr>
              <w:t>乡镇</w:t>
            </w:r>
          </w:p>
        </w:tc>
        <w:tc>
          <w:tcPr>
            <w:tcW w:w="5264" w:type="dxa"/>
            <w:vAlign w:val="center"/>
          </w:tcPr>
          <w:p w:rsidR="00D74771" w:rsidRDefault="00D74771" w:rsidP="006C2214">
            <w:pPr>
              <w:jc w:val="center"/>
              <w:rPr>
                <w:rFonts w:ascii="仿宋" w:eastAsia="仿宋" w:hAnsi="仿宋" w:cs="仿宋" w:hint="eastAsia"/>
                <w:sz w:val="24"/>
              </w:rPr>
            </w:pPr>
            <w:r>
              <w:rPr>
                <w:rFonts w:ascii="仿宋" w:eastAsia="仿宋" w:hAnsi="仿宋" w:cs="仿宋" w:hint="eastAsia"/>
                <w:sz w:val="24"/>
              </w:rPr>
              <w:t>业主项目</w:t>
            </w:r>
          </w:p>
        </w:tc>
        <w:tc>
          <w:tcPr>
            <w:tcW w:w="3221" w:type="dxa"/>
            <w:vAlign w:val="center"/>
          </w:tcPr>
          <w:p w:rsidR="00D74771" w:rsidRDefault="00D74771" w:rsidP="006C2214">
            <w:pPr>
              <w:jc w:val="center"/>
              <w:rPr>
                <w:rFonts w:ascii="仿宋" w:eastAsia="仿宋" w:hAnsi="仿宋" w:cs="仿宋" w:hint="eastAsia"/>
                <w:sz w:val="24"/>
              </w:rPr>
            </w:pPr>
            <w:r>
              <w:rPr>
                <w:rFonts w:ascii="仿宋" w:eastAsia="仿宋" w:hAnsi="仿宋" w:cs="仿宋" w:hint="eastAsia"/>
                <w:sz w:val="24"/>
              </w:rPr>
              <w:t>实施单位</w:t>
            </w:r>
          </w:p>
        </w:tc>
        <w:tc>
          <w:tcPr>
            <w:tcW w:w="1492" w:type="dxa"/>
            <w:vAlign w:val="center"/>
          </w:tcPr>
          <w:p w:rsidR="00D74771" w:rsidRDefault="00D74771" w:rsidP="006C2214">
            <w:pPr>
              <w:jc w:val="center"/>
              <w:rPr>
                <w:rFonts w:ascii="仿宋" w:eastAsia="仿宋" w:hAnsi="仿宋" w:cs="仿宋" w:hint="eastAsia"/>
                <w:sz w:val="24"/>
              </w:rPr>
            </w:pPr>
            <w:r>
              <w:rPr>
                <w:rFonts w:ascii="仿宋" w:eastAsia="仿宋" w:hAnsi="仿宋" w:cs="仿宋" w:hint="eastAsia"/>
                <w:sz w:val="24"/>
              </w:rPr>
              <w:t>金额（万元）</w:t>
            </w:r>
          </w:p>
        </w:tc>
        <w:tc>
          <w:tcPr>
            <w:tcW w:w="3637" w:type="dxa"/>
            <w:vAlign w:val="center"/>
          </w:tcPr>
          <w:p w:rsidR="00D74771" w:rsidRDefault="00D74771" w:rsidP="006C2214">
            <w:pPr>
              <w:jc w:val="center"/>
              <w:rPr>
                <w:rFonts w:ascii="仿宋" w:eastAsia="仿宋" w:hAnsi="仿宋" w:cs="仿宋" w:hint="eastAsia"/>
                <w:sz w:val="24"/>
              </w:rPr>
            </w:pPr>
            <w:r>
              <w:rPr>
                <w:rFonts w:ascii="仿宋" w:eastAsia="仿宋" w:hAnsi="仿宋" w:cs="仿宋" w:hint="eastAsia"/>
                <w:sz w:val="24"/>
              </w:rPr>
              <w:t>账号信息</w:t>
            </w:r>
          </w:p>
        </w:tc>
      </w:tr>
      <w:tr w:rsidR="00D74771" w:rsidTr="006C2214">
        <w:trPr>
          <w:trHeight w:val="976"/>
        </w:trPr>
        <w:tc>
          <w:tcPr>
            <w:tcW w:w="986" w:type="dxa"/>
            <w:vAlign w:val="center"/>
          </w:tcPr>
          <w:p w:rsidR="00D74771" w:rsidRDefault="00D74771" w:rsidP="006C2214">
            <w:pPr>
              <w:spacing w:line="400" w:lineRule="exact"/>
              <w:jc w:val="center"/>
              <w:rPr>
                <w:rFonts w:ascii="仿宋" w:eastAsia="仿宋" w:hAnsi="仿宋" w:cs="仿宋" w:hint="eastAsia"/>
                <w:sz w:val="24"/>
              </w:rPr>
            </w:pPr>
            <w:r>
              <w:rPr>
                <w:rFonts w:ascii="仿宋" w:eastAsia="仿宋" w:hAnsi="仿宋" w:cs="仿宋" w:hint="eastAsia"/>
                <w:sz w:val="24"/>
              </w:rPr>
              <w:t>昆阳镇</w:t>
            </w:r>
          </w:p>
        </w:tc>
        <w:tc>
          <w:tcPr>
            <w:tcW w:w="5264" w:type="dxa"/>
            <w:vAlign w:val="center"/>
          </w:tcPr>
          <w:p w:rsidR="00D74771" w:rsidRDefault="00D74771" w:rsidP="006C2214">
            <w:pPr>
              <w:spacing w:line="400" w:lineRule="exact"/>
              <w:rPr>
                <w:rFonts w:ascii="仿宋" w:eastAsia="仿宋" w:hAnsi="仿宋" w:cs="仿宋" w:hint="eastAsia"/>
                <w:sz w:val="24"/>
              </w:rPr>
            </w:pPr>
            <w:r>
              <w:rPr>
                <w:rFonts w:ascii="仿宋" w:eastAsia="仿宋" w:hAnsi="仿宋" w:cs="仿宋" w:hint="eastAsia"/>
                <w:kern w:val="0"/>
                <w:sz w:val="24"/>
              </w:rPr>
              <w:t>预拨平阳县垟山采石场废弃矿山生态环境治理工程进度款</w:t>
            </w:r>
          </w:p>
        </w:tc>
        <w:tc>
          <w:tcPr>
            <w:tcW w:w="3221" w:type="dxa"/>
            <w:vAlign w:val="center"/>
          </w:tcPr>
          <w:p w:rsidR="00D74771" w:rsidRDefault="00D74771" w:rsidP="006C2214">
            <w:pPr>
              <w:spacing w:line="400" w:lineRule="exact"/>
              <w:jc w:val="center"/>
              <w:rPr>
                <w:rFonts w:ascii="仿宋" w:eastAsia="仿宋" w:hAnsi="仿宋" w:cs="仿宋" w:hint="eastAsia"/>
                <w:sz w:val="24"/>
              </w:rPr>
            </w:pPr>
            <w:r>
              <w:rPr>
                <w:rFonts w:ascii="仿宋" w:eastAsia="仿宋" w:hAnsi="仿宋" w:cs="仿宋" w:hint="eastAsia"/>
                <w:sz w:val="24"/>
              </w:rPr>
              <w:t>浙江安盛爆破工程有限公司</w:t>
            </w:r>
          </w:p>
        </w:tc>
        <w:tc>
          <w:tcPr>
            <w:tcW w:w="1492" w:type="dxa"/>
            <w:vAlign w:val="center"/>
          </w:tcPr>
          <w:p w:rsidR="00D74771" w:rsidRDefault="00D74771" w:rsidP="006C2214">
            <w:pPr>
              <w:spacing w:line="400" w:lineRule="exact"/>
              <w:jc w:val="center"/>
              <w:rPr>
                <w:rFonts w:ascii="仿宋" w:eastAsia="仿宋" w:hAnsi="仿宋" w:cs="仿宋" w:hint="eastAsia"/>
                <w:sz w:val="24"/>
              </w:rPr>
            </w:pPr>
            <w:r>
              <w:rPr>
                <w:rFonts w:ascii="仿宋" w:eastAsia="仿宋" w:hAnsi="仿宋" w:cs="仿宋" w:hint="eastAsia"/>
                <w:sz w:val="24"/>
              </w:rPr>
              <w:t>500</w:t>
            </w:r>
          </w:p>
        </w:tc>
        <w:tc>
          <w:tcPr>
            <w:tcW w:w="3637" w:type="dxa"/>
            <w:vAlign w:val="center"/>
          </w:tcPr>
          <w:p w:rsidR="00D74771" w:rsidRDefault="00D74771" w:rsidP="006C2214">
            <w:pPr>
              <w:spacing w:line="400" w:lineRule="exact"/>
              <w:jc w:val="center"/>
              <w:rPr>
                <w:rFonts w:ascii="仿宋" w:eastAsia="仿宋" w:hAnsi="仿宋" w:cs="仿宋" w:hint="eastAsia"/>
                <w:sz w:val="24"/>
              </w:rPr>
            </w:pPr>
            <w:r>
              <w:rPr>
                <w:rFonts w:ascii="仿宋" w:eastAsia="仿宋" w:hAnsi="仿宋" w:cs="仿宋" w:hint="eastAsia"/>
                <w:sz w:val="24"/>
              </w:rPr>
              <w:t>平阳县昆阳镇会计核算中心   农行昆阳支行19250401040005438</w:t>
            </w:r>
          </w:p>
        </w:tc>
      </w:tr>
      <w:tr w:rsidR="00D74771" w:rsidTr="006C2214">
        <w:trPr>
          <w:trHeight w:val="947"/>
        </w:trPr>
        <w:tc>
          <w:tcPr>
            <w:tcW w:w="986" w:type="dxa"/>
            <w:vMerge w:val="restart"/>
            <w:vAlign w:val="center"/>
          </w:tcPr>
          <w:p w:rsidR="00D74771" w:rsidRDefault="00D74771" w:rsidP="006C2214">
            <w:pPr>
              <w:spacing w:line="400" w:lineRule="exact"/>
              <w:jc w:val="center"/>
              <w:rPr>
                <w:rFonts w:ascii="仿宋" w:eastAsia="仿宋" w:hAnsi="仿宋" w:cs="仿宋" w:hint="eastAsia"/>
                <w:sz w:val="24"/>
                <w:highlight w:val="yellow"/>
              </w:rPr>
            </w:pPr>
            <w:r>
              <w:rPr>
                <w:rFonts w:ascii="仿宋" w:eastAsia="仿宋" w:hAnsi="仿宋" w:cs="仿宋" w:hint="eastAsia"/>
                <w:sz w:val="24"/>
              </w:rPr>
              <w:t>鳌江镇</w:t>
            </w:r>
          </w:p>
        </w:tc>
        <w:tc>
          <w:tcPr>
            <w:tcW w:w="5264" w:type="dxa"/>
            <w:vAlign w:val="center"/>
          </w:tcPr>
          <w:p w:rsidR="00D74771" w:rsidRDefault="00D74771" w:rsidP="006C2214">
            <w:pPr>
              <w:spacing w:line="400" w:lineRule="exact"/>
              <w:rPr>
                <w:rFonts w:ascii="仿宋" w:eastAsia="仿宋" w:hAnsi="仿宋" w:cs="仿宋" w:hint="eastAsia"/>
                <w:kern w:val="0"/>
                <w:sz w:val="24"/>
              </w:rPr>
            </w:pPr>
            <w:r>
              <w:rPr>
                <w:rFonts w:ascii="仿宋" w:eastAsia="仿宋" w:hAnsi="仿宋" w:cs="仿宋" w:hint="eastAsia"/>
                <w:sz w:val="24"/>
              </w:rPr>
              <w:t>预拨平阳县梅溪双龙采石场废弃矿山生态环境治理工程进度款</w:t>
            </w:r>
          </w:p>
        </w:tc>
        <w:tc>
          <w:tcPr>
            <w:tcW w:w="3221" w:type="dxa"/>
            <w:vAlign w:val="center"/>
          </w:tcPr>
          <w:p w:rsidR="00D74771" w:rsidRDefault="00D74771" w:rsidP="006C2214">
            <w:pPr>
              <w:spacing w:line="400" w:lineRule="exact"/>
              <w:jc w:val="center"/>
              <w:rPr>
                <w:rFonts w:ascii="仿宋" w:eastAsia="仿宋" w:hAnsi="仿宋" w:cs="仿宋" w:hint="eastAsia"/>
                <w:sz w:val="24"/>
              </w:rPr>
            </w:pPr>
            <w:r>
              <w:rPr>
                <w:rFonts w:ascii="仿宋" w:eastAsia="仿宋" w:hAnsi="仿宋" w:cs="仿宋" w:hint="eastAsia"/>
                <w:sz w:val="24"/>
              </w:rPr>
              <w:t>江西核工业建设有限公司</w:t>
            </w:r>
          </w:p>
        </w:tc>
        <w:tc>
          <w:tcPr>
            <w:tcW w:w="1492" w:type="dxa"/>
            <w:vAlign w:val="center"/>
          </w:tcPr>
          <w:p w:rsidR="00D74771" w:rsidRDefault="00D74771" w:rsidP="006C2214">
            <w:pPr>
              <w:spacing w:line="400" w:lineRule="exact"/>
              <w:jc w:val="center"/>
              <w:rPr>
                <w:rFonts w:ascii="仿宋" w:eastAsia="仿宋" w:hAnsi="仿宋" w:cs="仿宋" w:hint="eastAsia"/>
                <w:sz w:val="24"/>
              </w:rPr>
            </w:pPr>
            <w:r>
              <w:rPr>
                <w:rFonts w:ascii="仿宋" w:eastAsia="仿宋" w:hAnsi="仿宋" w:cs="仿宋" w:hint="eastAsia"/>
                <w:sz w:val="24"/>
              </w:rPr>
              <w:t>390</w:t>
            </w:r>
          </w:p>
        </w:tc>
        <w:tc>
          <w:tcPr>
            <w:tcW w:w="3637" w:type="dxa"/>
            <w:vMerge w:val="restart"/>
            <w:vAlign w:val="center"/>
          </w:tcPr>
          <w:p w:rsidR="00D74771" w:rsidRDefault="00D74771" w:rsidP="006C2214">
            <w:pPr>
              <w:spacing w:line="400" w:lineRule="exact"/>
              <w:jc w:val="center"/>
              <w:rPr>
                <w:rFonts w:ascii="仿宋" w:eastAsia="仿宋" w:hAnsi="仿宋" w:cs="仿宋" w:hint="eastAsia"/>
                <w:sz w:val="24"/>
              </w:rPr>
            </w:pPr>
            <w:r>
              <w:rPr>
                <w:rFonts w:ascii="仿宋" w:eastAsia="仿宋" w:hAnsi="仿宋" w:cs="仿宋" w:hint="eastAsia"/>
                <w:sz w:val="24"/>
              </w:rPr>
              <w:t>鳌江镇财政管理办公室</w:t>
            </w:r>
          </w:p>
          <w:p w:rsidR="00D74771" w:rsidRDefault="00D74771" w:rsidP="006C2214">
            <w:pPr>
              <w:spacing w:line="400" w:lineRule="exact"/>
              <w:jc w:val="center"/>
              <w:rPr>
                <w:rFonts w:ascii="仿宋" w:eastAsia="仿宋" w:hAnsi="仿宋" w:cs="仿宋" w:hint="eastAsia"/>
                <w:sz w:val="24"/>
              </w:rPr>
            </w:pPr>
            <w:r>
              <w:rPr>
                <w:rFonts w:ascii="仿宋" w:eastAsia="仿宋" w:hAnsi="仿宋" w:cs="仿宋" w:hint="eastAsia"/>
                <w:sz w:val="24"/>
              </w:rPr>
              <w:t>建行平阳县鳌江支行</w:t>
            </w:r>
          </w:p>
          <w:p w:rsidR="00D74771" w:rsidRDefault="00D74771" w:rsidP="006C2214">
            <w:pPr>
              <w:spacing w:line="400" w:lineRule="exact"/>
              <w:jc w:val="center"/>
              <w:rPr>
                <w:rFonts w:ascii="仿宋" w:eastAsia="仿宋" w:hAnsi="仿宋" w:cs="仿宋" w:hint="eastAsia"/>
                <w:sz w:val="24"/>
                <w:highlight w:val="yellow"/>
              </w:rPr>
            </w:pPr>
            <w:r>
              <w:rPr>
                <w:rFonts w:ascii="仿宋" w:eastAsia="仿宋" w:hAnsi="仿宋" w:cs="仿宋" w:hint="eastAsia"/>
                <w:sz w:val="24"/>
              </w:rPr>
              <w:t>33001627163050002505</w:t>
            </w:r>
          </w:p>
        </w:tc>
      </w:tr>
      <w:tr w:rsidR="00D74771" w:rsidTr="006C2214">
        <w:trPr>
          <w:trHeight w:val="947"/>
        </w:trPr>
        <w:tc>
          <w:tcPr>
            <w:tcW w:w="986" w:type="dxa"/>
            <w:vMerge/>
            <w:vAlign w:val="center"/>
          </w:tcPr>
          <w:p w:rsidR="00D74771" w:rsidRDefault="00D74771" w:rsidP="006C2214">
            <w:pPr>
              <w:spacing w:line="400" w:lineRule="exact"/>
              <w:jc w:val="center"/>
              <w:rPr>
                <w:rFonts w:ascii="仿宋" w:eastAsia="仿宋" w:hAnsi="仿宋" w:cs="仿宋" w:hint="eastAsia"/>
                <w:sz w:val="24"/>
              </w:rPr>
            </w:pPr>
          </w:p>
        </w:tc>
        <w:tc>
          <w:tcPr>
            <w:tcW w:w="5264" w:type="dxa"/>
            <w:vAlign w:val="center"/>
          </w:tcPr>
          <w:p w:rsidR="00D74771" w:rsidRDefault="00D74771" w:rsidP="006C2214">
            <w:pPr>
              <w:spacing w:line="400" w:lineRule="exact"/>
              <w:rPr>
                <w:rFonts w:ascii="仿宋" w:eastAsia="仿宋" w:hAnsi="仿宋" w:cs="仿宋" w:hint="eastAsia"/>
                <w:sz w:val="24"/>
              </w:rPr>
            </w:pPr>
            <w:r>
              <w:rPr>
                <w:rFonts w:ascii="仿宋" w:eastAsia="仿宋" w:hAnsi="仿宋" w:cs="仿宋" w:hint="eastAsia"/>
                <w:sz w:val="24"/>
              </w:rPr>
              <w:t>预拨平阳县鳌江镇西炉开山队采石场废弃矿山生态环境治理修复工程进度款</w:t>
            </w:r>
          </w:p>
        </w:tc>
        <w:tc>
          <w:tcPr>
            <w:tcW w:w="3221" w:type="dxa"/>
            <w:vAlign w:val="center"/>
          </w:tcPr>
          <w:p w:rsidR="00D74771" w:rsidRDefault="00D74771" w:rsidP="006C2214">
            <w:pPr>
              <w:spacing w:line="400" w:lineRule="exact"/>
              <w:jc w:val="center"/>
              <w:rPr>
                <w:rFonts w:ascii="仿宋" w:eastAsia="仿宋" w:hAnsi="仿宋" w:cs="仿宋" w:hint="eastAsia"/>
                <w:sz w:val="24"/>
              </w:rPr>
            </w:pPr>
            <w:r>
              <w:rPr>
                <w:rFonts w:ascii="仿宋" w:eastAsia="仿宋" w:hAnsi="仿宋" w:cs="仿宋" w:hint="eastAsia"/>
                <w:sz w:val="24"/>
              </w:rPr>
              <w:t>浙江安盛爆破工程有限公司</w:t>
            </w:r>
          </w:p>
        </w:tc>
        <w:tc>
          <w:tcPr>
            <w:tcW w:w="1492" w:type="dxa"/>
            <w:vAlign w:val="center"/>
          </w:tcPr>
          <w:p w:rsidR="00D74771" w:rsidRDefault="00D74771" w:rsidP="006C2214">
            <w:pPr>
              <w:spacing w:line="400" w:lineRule="exact"/>
              <w:jc w:val="center"/>
              <w:rPr>
                <w:rFonts w:ascii="仿宋" w:eastAsia="仿宋" w:hAnsi="仿宋" w:cs="仿宋" w:hint="eastAsia"/>
                <w:sz w:val="24"/>
              </w:rPr>
            </w:pPr>
            <w:r>
              <w:rPr>
                <w:rFonts w:ascii="仿宋" w:eastAsia="仿宋" w:hAnsi="仿宋" w:cs="仿宋" w:hint="eastAsia"/>
                <w:sz w:val="24"/>
              </w:rPr>
              <w:t>790</w:t>
            </w:r>
          </w:p>
        </w:tc>
        <w:tc>
          <w:tcPr>
            <w:tcW w:w="3637" w:type="dxa"/>
            <w:vMerge/>
            <w:vAlign w:val="center"/>
          </w:tcPr>
          <w:p w:rsidR="00D74771" w:rsidRDefault="00D74771" w:rsidP="006C2214">
            <w:pPr>
              <w:spacing w:line="400" w:lineRule="exact"/>
              <w:jc w:val="center"/>
              <w:rPr>
                <w:rFonts w:ascii="仿宋" w:eastAsia="仿宋" w:hAnsi="仿宋" w:cs="仿宋" w:hint="eastAsia"/>
                <w:sz w:val="24"/>
              </w:rPr>
            </w:pPr>
          </w:p>
        </w:tc>
      </w:tr>
      <w:tr w:rsidR="00D74771" w:rsidTr="006C2214">
        <w:trPr>
          <w:trHeight w:val="966"/>
        </w:trPr>
        <w:tc>
          <w:tcPr>
            <w:tcW w:w="986" w:type="dxa"/>
            <w:vMerge w:val="restart"/>
            <w:vAlign w:val="center"/>
          </w:tcPr>
          <w:p w:rsidR="00D74771" w:rsidRDefault="00D74771" w:rsidP="006C2214">
            <w:pPr>
              <w:spacing w:line="400" w:lineRule="exact"/>
              <w:jc w:val="center"/>
              <w:rPr>
                <w:rFonts w:ascii="仿宋" w:eastAsia="仿宋" w:hAnsi="仿宋" w:cs="仿宋" w:hint="eastAsia"/>
                <w:sz w:val="24"/>
              </w:rPr>
            </w:pPr>
            <w:r>
              <w:rPr>
                <w:rFonts w:ascii="仿宋" w:eastAsia="仿宋" w:hAnsi="仿宋" w:cs="仿宋" w:hint="eastAsia"/>
                <w:sz w:val="24"/>
              </w:rPr>
              <w:t>万全镇</w:t>
            </w:r>
          </w:p>
        </w:tc>
        <w:tc>
          <w:tcPr>
            <w:tcW w:w="5264" w:type="dxa"/>
            <w:vAlign w:val="center"/>
          </w:tcPr>
          <w:p w:rsidR="00D74771" w:rsidRDefault="00D74771" w:rsidP="006C2214">
            <w:pPr>
              <w:spacing w:line="400" w:lineRule="exact"/>
              <w:rPr>
                <w:rFonts w:ascii="仿宋" w:eastAsia="仿宋" w:hAnsi="仿宋" w:cs="仿宋" w:hint="eastAsia"/>
                <w:sz w:val="24"/>
              </w:rPr>
            </w:pPr>
            <w:r>
              <w:rPr>
                <w:rFonts w:ascii="仿宋" w:eastAsia="仿宋" w:hAnsi="仿宋" w:cs="仿宋" w:hint="eastAsia"/>
                <w:kern w:val="0"/>
                <w:sz w:val="24"/>
              </w:rPr>
              <w:t>预拨平阳县益丰采石场废弃矿山生态环境治理工程进度款</w:t>
            </w:r>
          </w:p>
        </w:tc>
        <w:tc>
          <w:tcPr>
            <w:tcW w:w="3221" w:type="dxa"/>
            <w:vAlign w:val="center"/>
          </w:tcPr>
          <w:p w:rsidR="00D74771" w:rsidRDefault="00D74771" w:rsidP="006C2214">
            <w:pPr>
              <w:spacing w:line="400" w:lineRule="exact"/>
              <w:jc w:val="center"/>
              <w:rPr>
                <w:rFonts w:ascii="仿宋" w:eastAsia="仿宋" w:hAnsi="仿宋" w:cs="仿宋" w:hint="eastAsia"/>
                <w:sz w:val="24"/>
              </w:rPr>
            </w:pPr>
            <w:r>
              <w:rPr>
                <w:rFonts w:ascii="仿宋" w:eastAsia="仿宋" w:hAnsi="仿宋" w:cs="仿宋" w:hint="eastAsia"/>
                <w:sz w:val="24"/>
              </w:rPr>
              <w:t>山西宏基建设有限公司</w:t>
            </w:r>
          </w:p>
        </w:tc>
        <w:tc>
          <w:tcPr>
            <w:tcW w:w="1492" w:type="dxa"/>
            <w:vAlign w:val="center"/>
          </w:tcPr>
          <w:p w:rsidR="00D74771" w:rsidRDefault="00D74771" w:rsidP="006C2214">
            <w:pPr>
              <w:spacing w:line="400" w:lineRule="exact"/>
              <w:jc w:val="center"/>
              <w:rPr>
                <w:rFonts w:ascii="仿宋" w:eastAsia="仿宋" w:hAnsi="仿宋" w:cs="仿宋" w:hint="eastAsia"/>
                <w:sz w:val="24"/>
              </w:rPr>
            </w:pPr>
            <w:r>
              <w:rPr>
                <w:rFonts w:ascii="仿宋" w:eastAsia="仿宋" w:hAnsi="仿宋" w:cs="仿宋" w:hint="eastAsia"/>
                <w:sz w:val="24"/>
              </w:rPr>
              <w:t>380</w:t>
            </w:r>
          </w:p>
        </w:tc>
        <w:tc>
          <w:tcPr>
            <w:tcW w:w="3637" w:type="dxa"/>
            <w:vMerge w:val="restart"/>
            <w:vAlign w:val="center"/>
          </w:tcPr>
          <w:p w:rsidR="00D74771" w:rsidRDefault="00D74771" w:rsidP="006C2214">
            <w:pPr>
              <w:rPr>
                <w:rFonts w:ascii="仿宋" w:eastAsia="仿宋" w:hAnsi="仿宋" w:cs="仿宋" w:hint="eastAsia"/>
                <w:sz w:val="24"/>
              </w:rPr>
            </w:pPr>
            <w:r>
              <w:rPr>
                <w:rFonts w:ascii="仿宋" w:eastAsia="仿宋" w:hAnsi="仿宋" w:cs="仿宋" w:hint="eastAsia"/>
                <w:sz w:val="24"/>
              </w:rPr>
              <w:t>平阳县万全镇人民政府会计核算中心—建设办</w:t>
            </w:r>
          </w:p>
          <w:p w:rsidR="00D74771" w:rsidRDefault="00D74771" w:rsidP="006C2214">
            <w:pPr>
              <w:rPr>
                <w:rFonts w:ascii="仿宋" w:eastAsia="仿宋" w:hAnsi="仿宋" w:cs="仿宋" w:hint="eastAsia"/>
                <w:sz w:val="24"/>
              </w:rPr>
            </w:pPr>
            <w:r>
              <w:rPr>
                <w:rFonts w:ascii="仿宋" w:eastAsia="仿宋" w:hAnsi="仿宋" w:cs="仿宋" w:hint="eastAsia"/>
                <w:sz w:val="24"/>
              </w:rPr>
              <w:t>平阳农商银行万全支行</w:t>
            </w:r>
          </w:p>
          <w:p w:rsidR="00D74771" w:rsidRDefault="00D74771" w:rsidP="006C2214">
            <w:pPr>
              <w:rPr>
                <w:rFonts w:ascii="仿宋" w:eastAsia="仿宋" w:hAnsi="仿宋" w:cs="仿宋" w:hint="eastAsia"/>
                <w:sz w:val="24"/>
              </w:rPr>
            </w:pPr>
            <w:r>
              <w:rPr>
                <w:rFonts w:ascii="仿宋" w:eastAsia="仿宋" w:hAnsi="仿宋" w:cs="仿宋" w:hint="eastAsia"/>
                <w:sz w:val="24"/>
              </w:rPr>
              <w:t>201000082982209000037</w:t>
            </w:r>
          </w:p>
        </w:tc>
      </w:tr>
      <w:tr w:rsidR="00D74771" w:rsidTr="006C2214">
        <w:trPr>
          <w:trHeight w:val="966"/>
        </w:trPr>
        <w:tc>
          <w:tcPr>
            <w:tcW w:w="986" w:type="dxa"/>
            <w:vMerge/>
            <w:vAlign w:val="center"/>
          </w:tcPr>
          <w:p w:rsidR="00D74771" w:rsidRDefault="00D74771" w:rsidP="006C2214">
            <w:pPr>
              <w:spacing w:line="400" w:lineRule="exact"/>
              <w:jc w:val="center"/>
              <w:rPr>
                <w:szCs w:val="21"/>
              </w:rPr>
            </w:pPr>
          </w:p>
        </w:tc>
        <w:tc>
          <w:tcPr>
            <w:tcW w:w="5264" w:type="dxa"/>
            <w:vAlign w:val="center"/>
          </w:tcPr>
          <w:p w:rsidR="00D74771" w:rsidRDefault="00D74771" w:rsidP="006C2214">
            <w:pPr>
              <w:spacing w:line="400" w:lineRule="exact"/>
              <w:rPr>
                <w:szCs w:val="21"/>
              </w:rPr>
            </w:pPr>
            <w:r>
              <w:rPr>
                <w:kern w:val="0"/>
                <w:szCs w:val="21"/>
              </w:rPr>
              <w:t>预拨</w:t>
            </w:r>
            <w:r>
              <w:rPr>
                <w:rFonts w:hint="eastAsia"/>
                <w:kern w:val="0"/>
                <w:szCs w:val="21"/>
              </w:rPr>
              <w:t>万全镇中镇岙底山</w:t>
            </w:r>
            <w:r>
              <w:rPr>
                <w:kern w:val="0"/>
                <w:szCs w:val="21"/>
              </w:rPr>
              <w:t>采石场废弃矿山生态环境</w:t>
            </w:r>
            <w:r>
              <w:rPr>
                <w:rFonts w:hint="eastAsia"/>
                <w:kern w:val="0"/>
                <w:szCs w:val="21"/>
              </w:rPr>
              <w:t>治理工程进度款</w:t>
            </w:r>
          </w:p>
        </w:tc>
        <w:tc>
          <w:tcPr>
            <w:tcW w:w="3221" w:type="dxa"/>
            <w:vAlign w:val="center"/>
          </w:tcPr>
          <w:p w:rsidR="00D74771" w:rsidRDefault="00D74771" w:rsidP="006C2214">
            <w:pPr>
              <w:spacing w:line="400" w:lineRule="exact"/>
              <w:jc w:val="center"/>
              <w:rPr>
                <w:rFonts w:hint="eastAsia"/>
                <w:szCs w:val="21"/>
              </w:rPr>
            </w:pPr>
            <w:r>
              <w:rPr>
                <w:rFonts w:hint="eastAsia"/>
                <w:szCs w:val="21"/>
              </w:rPr>
              <w:t>浙江安盛爆破工程有限公司</w:t>
            </w:r>
          </w:p>
        </w:tc>
        <w:tc>
          <w:tcPr>
            <w:tcW w:w="1492" w:type="dxa"/>
            <w:vAlign w:val="center"/>
          </w:tcPr>
          <w:p w:rsidR="00D74771" w:rsidRDefault="00D74771" w:rsidP="006C2214">
            <w:pPr>
              <w:spacing w:line="400" w:lineRule="exact"/>
              <w:jc w:val="center"/>
              <w:rPr>
                <w:szCs w:val="21"/>
              </w:rPr>
            </w:pPr>
            <w:r>
              <w:rPr>
                <w:rFonts w:hint="eastAsia"/>
                <w:szCs w:val="21"/>
              </w:rPr>
              <w:t>540</w:t>
            </w:r>
          </w:p>
        </w:tc>
        <w:tc>
          <w:tcPr>
            <w:tcW w:w="3637" w:type="dxa"/>
            <w:vMerge/>
            <w:vAlign w:val="center"/>
          </w:tcPr>
          <w:p w:rsidR="00D74771" w:rsidRDefault="00D74771" w:rsidP="006C2214">
            <w:pPr>
              <w:spacing w:line="400" w:lineRule="exact"/>
              <w:jc w:val="center"/>
              <w:rPr>
                <w:rFonts w:eastAsia="仿宋_GB2312"/>
                <w:szCs w:val="21"/>
                <w:highlight w:val="yellow"/>
              </w:rPr>
            </w:pPr>
          </w:p>
        </w:tc>
      </w:tr>
      <w:tr w:rsidR="00D74771" w:rsidTr="006C2214">
        <w:trPr>
          <w:trHeight w:val="648"/>
        </w:trPr>
        <w:tc>
          <w:tcPr>
            <w:tcW w:w="986" w:type="dxa"/>
            <w:vAlign w:val="center"/>
          </w:tcPr>
          <w:p w:rsidR="00D74771" w:rsidRDefault="00D74771" w:rsidP="006C2214">
            <w:pPr>
              <w:spacing w:line="400" w:lineRule="exact"/>
              <w:jc w:val="center"/>
              <w:rPr>
                <w:szCs w:val="21"/>
              </w:rPr>
            </w:pPr>
            <w:r>
              <w:rPr>
                <w:szCs w:val="21"/>
              </w:rPr>
              <w:t>合计</w:t>
            </w:r>
          </w:p>
        </w:tc>
        <w:tc>
          <w:tcPr>
            <w:tcW w:w="5264" w:type="dxa"/>
            <w:vAlign w:val="center"/>
          </w:tcPr>
          <w:p w:rsidR="00D74771" w:rsidRDefault="00D74771" w:rsidP="006C2214">
            <w:pPr>
              <w:spacing w:line="400" w:lineRule="exact"/>
              <w:jc w:val="center"/>
              <w:rPr>
                <w:szCs w:val="21"/>
              </w:rPr>
            </w:pPr>
          </w:p>
        </w:tc>
        <w:tc>
          <w:tcPr>
            <w:tcW w:w="3221" w:type="dxa"/>
            <w:vAlign w:val="center"/>
          </w:tcPr>
          <w:p w:rsidR="00D74771" w:rsidRDefault="00D74771" w:rsidP="006C2214">
            <w:pPr>
              <w:spacing w:line="400" w:lineRule="exact"/>
              <w:jc w:val="center"/>
              <w:rPr>
                <w:szCs w:val="21"/>
              </w:rPr>
            </w:pPr>
            <w:r>
              <w:rPr>
                <w:szCs w:val="21"/>
              </w:rPr>
              <w:t>——</w:t>
            </w:r>
          </w:p>
        </w:tc>
        <w:tc>
          <w:tcPr>
            <w:tcW w:w="1492" w:type="dxa"/>
            <w:vAlign w:val="center"/>
          </w:tcPr>
          <w:p w:rsidR="00D74771" w:rsidRDefault="00D74771" w:rsidP="006C2214">
            <w:pPr>
              <w:spacing w:line="400" w:lineRule="exact"/>
              <w:jc w:val="center"/>
              <w:rPr>
                <w:szCs w:val="21"/>
                <w:highlight w:val="yellow"/>
              </w:rPr>
            </w:pPr>
            <w:r>
              <w:rPr>
                <w:rFonts w:hint="eastAsia"/>
                <w:szCs w:val="21"/>
              </w:rPr>
              <w:t>2600</w:t>
            </w:r>
          </w:p>
        </w:tc>
        <w:tc>
          <w:tcPr>
            <w:tcW w:w="3637" w:type="dxa"/>
            <w:vAlign w:val="center"/>
          </w:tcPr>
          <w:p w:rsidR="00D74771" w:rsidRDefault="00D74771" w:rsidP="006C2214">
            <w:pPr>
              <w:spacing w:line="400" w:lineRule="exact"/>
              <w:jc w:val="center"/>
              <w:rPr>
                <w:szCs w:val="21"/>
                <w:highlight w:val="yellow"/>
              </w:rPr>
            </w:pPr>
          </w:p>
        </w:tc>
      </w:tr>
    </w:tbl>
    <w:p w:rsidR="001E2AF8" w:rsidRDefault="001E2AF8"/>
    <w:sectPr w:rsidR="001E2AF8" w:rsidSect="00D7477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AF8" w:rsidRDefault="001E2AF8" w:rsidP="00D74771">
      <w:r>
        <w:separator/>
      </w:r>
    </w:p>
  </w:endnote>
  <w:endnote w:type="continuationSeparator" w:id="1">
    <w:p w:rsidR="001E2AF8" w:rsidRDefault="001E2AF8" w:rsidP="00D747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AF8" w:rsidRDefault="001E2AF8" w:rsidP="00D74771">
      <w:r>
        <w:separator/>
      </w:r>
    </w:p>
  </w:footnote>
  <w:footnote w:type="continuationSeparator" w:id="1">
    <w:p w:rsidR="001E2AF8" w:rsidRDefault="001E2AF8" w:rsidP="00D747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4771"/>
    <w:rsid w:val="001E2AF8"/>
    <w:rsid w:val="00D747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7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47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74771"/>
    <w:rPr>
      <w:sz w:val="18"/>
      <w:szCs w:val="18"/>
    </w:rPr>
  </w:style>
  <w:style w:type="paragraph" w:styleId="a4">
    <w:name w:val="footer"/>
    <w:basedOn w:val="a"/>
    <w:link w:val="Char0"/>
    <w:uiPriority w:val="99"/>
    <w:semiHidden/>
    <w:unhideWhenUsed/>
    <w:rsid w:val="00D747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747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Company>微软中国</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2021-12-31T09:14:00Z</dcterms:created>
  <dcterms:modified xsi:type="dcterms:W3CDTF">2021-12-31T09:14:00Z</dcterms:modified>
</cp:coreProperties>
</file>