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pacing w:val="15"/>
          <w:kern w:val="0"/>
          <w:sz w:val="44"/>
          <w:szCs w:val="44"/>
        </w:rPr>
      </w:pPr>
      <w:r>
        <w:rPr>
          <w:rFonts w:hint="eastAsia" w:ascii="宋体" w:hAnsi="宋体" w:eastAsia="宋体" w:cs="宋体"/>
          <w:b w:val="0"/>
          <w:bCs/>
          <w:spacing w:val="15"/>
          <w:kern w:val="0"/>
          <w:sz w:val="44"/>
          <w:szCs w:val="44"/>
        </w:rPr>
        <w:t>平阳县住房和城乡建设局行政处罚自由裁量基准（</w:t>
      </w:r>
      <w:r>
        <w:rPr>
          <w:rFonts w:hint="eastAsia" w:ascii="宋体" w:hAnsi="宋体" w:eastAsia="宋体" w:cs="宋体"/>
          <w:b/>
          <w:bCs w:val="0"/>
          <w:spacing w:val="15"/>
          <w:kern w:val="0"/>
          <w:sz w:val="44"/>
          <w:szCs w:val="44"/>
          <w:u w:val="none"/>
        </w:rPr>
        <w:t>消防领域</w:t>
      </w:r>
      <w:r>
        <w:rPr>
          <w:rFonts w:hint="eastAsia" w:ascii="宋体" w:hAnsi="宋体" w:eastAsia="宋体" w:cs="宋体"/>
          <w:b/>
          <w:bCs w:val="0"/>
          <w:spacing w:val="15"/>
          <w:kern w:val="0"/>
          <w:sz w:val="44"/>
          <w:szCs w:val="44"/>
          <w:lang w:val="en-US" w:eastAsia="zh-CN"/>
        </w:rPr>
        <w:t>10</w:t>
      </w:r>
      <w:r>
        <w:rPr>
          <w:rFonts w:hint="eastAsia" w:ascii="宋体" w:hAnsi="宋体" w:eastAsia="宋体" w:cs="宋体"/>
          <w:b/>
          <w:bCs w:val="0"/>
          <w:spacing w:val="15"/>
          <w:kern w:val="0"/>
          <w:sz w:val="44"/>
          <w:szCs w:val="44"/>
        </w:rPr>
        <w:t>项</w:t>
      </w:r>
      <w:r>
        <w:rPr>
          <w:rFonts w:hint="eastAsia" w:ascii="宋体" w:hAnsi="宋体" w:eastAsia="宋体" w:cs="宋体"/>
          <w:b w:val="0"/>
          <w:bCs/>
          <w:spacing w:val="15"/>
          <w:kern w:val="0"/>
          <w:sz w:val="44"/>
          <w:szCs w:val="44"/>
        </w:rPr>
        <w:t>）</w:t>
      </w:r>
    </w:p>
    <w:tbl>
      <w:tblPr>
        <w:tblStyle w:val="5"/>
        <w:tblW w:w="1966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64"/>
        <w:gridCol w:w="1228"/>
        <w:gridCol w:w="10"/>
        <w:gridCol w:w="1408"/>
        <w:gridCol w:w="16"/>
        <w:gridCol w:w="1400"/>
        <w:gridCol w:w="22"/>
        <w:gridCol w:w="1396"/>
        <w:gridCol w:w="29"/>
        <w:gridCol w:w="46"/>
        <w:gridCol w:w="1343"/>
        <w:gridCol w:w="36"/>
        <w:gridCol w:w="1382"/>
        <w:gridCol w:w="43"/>
        <w:gridCol w:w="1375"/>
        <w:gridCol w:w="50"/>
        <w:gridCol w:w="52"/>
        <w:gridCol w:w="1337"/>
        <w:gridCol w:w="57"/>
        <w:gridCol w:w="1368"/>
        <w:gridCol w:w="65"/>
        <w:gridCol w:w="58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序号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1未经消防设计审核擅自施工的处罚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330217475000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对未经消防设计审核擅自施工等行为的行政处罚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8"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《中华人民共和国消防法》第五十八条　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6"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责令停止施工、停止使用或者停产停业，并处三万元以上三十万元以下罚款。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413"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6"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ind w:firstLine="401" w:firstLineChars="200"/>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3万元以上-3.5万元以下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3.5万元以上-4万元以下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5万元以上-7万元以下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7万元以上-11万元以下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11万元以上-16万元以下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16万元以上-22万元以下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22万元以上-26万元以下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26万元以上-30万元以下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20万㎡以上－30万㎡以下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7"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2.5千㎡以上－3千㎡以下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3千㎡以上－5千㎡以下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1千㎡以上－1.5千㎡以下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8千㎡以上-1万千㎡以下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2.5万㎡以上－4万㎡以下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5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46"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4万㎡以上－5万㎡以下或高度50m以上－60m以下</w:t>
            </w:r>
          </w:p>
        </w:tc>
        <w:tc>
          <w:tcPr>
            <w:tcW w:w="1424"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5万㎡以上－6万㎡以下或高度60m以上－70m以下</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6万㎡以上－7万㎡以下或高度70m以上－80m以下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7万㎡以上－8万㎡以下或高度80m以上－100m以下</w:t>
            </w:r>
          </w:p>
        </w:tc>
        <w:tc>
          <w:tcPr>
            <w:tcW w:w="142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8万㎡以上－9万㎡以下或高度100m以上－120m以下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9万㎡以－10万㎡以下或高度120m以上－150m以下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46"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8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1"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2消防设计审核不合格擅自施工的处罚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330217477000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对消防设计审核不合格擅自施工等行为的行政处罚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《中华人民共和国消防法》第五十八条　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责令停止施工、停止使用或者停产停业，并处三万元以上三十万元以下罚款。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ind w:firstLine="401" w:firstLineChars="200"/>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3万元以上-3.5万元以下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7万元以上-11万元以下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11万元以上-16万元以下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16万元以上-22万元以下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22万元以上-26万元以下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26万元以上-30万元以下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20万㎡以上－30万㎡以下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1千㎡以上－1.5千㎡以下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8千㎡以上-1万千㎡以下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4万㎡以上－5万㎡以下或高度50m以上－60m以下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5万㎡以上－6万㎡以下或高度60m以上－70m以下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6万㎡以上－7万㎡以下或高度70m以上－80m以下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7万㎡以上－8万㎡以下或高度80m以上－100m以下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8万㎡以上－9万㎡以下或高度100m以上－120m以下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9万㎡以－10万㎡以下或高度120m以上－150m以下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1"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3未经消防验收或消防验收不合格擅自投入使用的处罚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3"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330217748000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对特殊建设工程未经消防验收或消防验收不合格投入使用的行政处罚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《中华人民共和国消防法》第五十八条　违反本法规定，有下列行为之一的，由住房和城乡建设主管部门、消防救援机构按照各自职权责令停止施工、停止使用或者停产停业，并处三万元以上三十万元以下罚款：（二）依法应当进行消防验收的建设工程，未经消防验收或者消防验收不合格，擅自投入使用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责令停止施工、停止使用或者停产停业，并处三万元以上三十万元以下罚款。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3万元以上-3.5万元以下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7万元以上-11万元以下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11万元以上-16万元以下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16万元以上-22万元以下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22万元以上-26万元以下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26万元以上-30万元以下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20万㎡以上－30万㎡以下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1千㎡以上－1.5千㎡以下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8千㎡以上-1万千㎡以下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4万㎡以上－5万㎡以下或高度50m以上－60m以下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5万㎡以上－6万㎡以下或高度60m以上－70m以下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6万㎡以上－7万㎡以下或高度70m以上－80m以下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7万㎡以上－8万㎡以下或高度80m以上－100m以下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8万㎡以上－9万㎡以下或高度100m以上－120m以下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9万㎡以－10万㎡以下或高度120m以上－150m以下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4消防验收后未备案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 xml:space="preserve">330217757000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 xml:space="preserve">对其他建设工程竣工验收合格后未申报消防验收备案的行政处罚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《中华人民共和国消防法》第五十八条　第二款：建设单位未依照本法规定在验收后报住房和城乡建设主管部门备案的，由住房和城乡建设主管部门责令改正，处五千元以下罚款。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责令改正，处五千元以下罚款。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类别1至类别6规定以外的单体建筑面积不大于四万平方米或者建筑高度不超过五十米的属于备案范围的公共建筑；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500元以上（含）－2千元以下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2千元以下-3.5千元以上</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3.5千元以上－5千元以下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6千㎡以上-1.4万㎡以下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1.4万㎡以上－2万㎡以下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4.5千㎡以上-1.05万㎡以下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1.05万㎡以上－1.5万㎡以下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3千㎡以上-7千㎡以下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1.5千㎡以上-2.2千㎡以下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2.2千㎡以上－2.5千㎡以下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600㎡以上-900㎡以下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900㎡以上－1千㎡以下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300㎡以上-450㎡以下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450㎡以上－500㎡以下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1万㎡以下且高度30m以下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1万㎡以上-2万㎡以下或高度30m以上-50m以下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5千㎡以上-5万㎡以下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5</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b/>
                <w:bCs/>
                <w:color w:val="auto"/>
                <w:kern w:val="0"/>
                <w:sz w:val="24"/>
                <w:szCs w:val="24"/>
              </w:rPr>
              <w:t>对建设单位未重新申报建设工程消防验收、消防验收备案的行政处罚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330217761000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对建设单位未重新申报建设工程消防验收、消防验收备案的行政处罚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1、《浙江省消防条例》第二十五条：“任何单位和个人不得擅自改变经公安机关消防机构验收合格或者备案的建筑物、场所的使用性质；确需改变的，应当向公安机关消防机构重新申请消防验收或者备案。”</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xml:space="preserve">2、《浙江省消防条例》第五十八条第一款 未重新申请消防验收的，责令停止使用或者停产停业，并处一万元以上十万元以下罚款；未重新备案的，责令限期改正，处五百元以上五千元以下罚款。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未重新申请消防验收的，责令改正，并处五千元以下罚款；未重新备案的，责令改正，并处五百元以上五千元以下罚款。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类别1至类别6规定以外的单体建筑面积不大于四万平方米或者建筑高度不超过五十米的属于备案范围的公共建筑；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500元以上（含）－2千元以下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2千元以下-3.5千元以上</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3.5千元以上－5千元以下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6千㎡以上-1.4万㎡以下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1.4万㎡以上－2万㎡以下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4.5千㎡以上-1.05万㎡以下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1.05万㎡以上－1.5万㎡以下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3千㎡以上-7千㎡以下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1.5千㎡以上-2.2千㎡以下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2.2千㎡以上－2.5千㎡以下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600㎡以上-900㎡以下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900㎡以上－1千㎡以下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300㎡以上-450㎡以下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450㎡以上－500㎡以下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1万㎡以下且高度30m以下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1万㎡以上-2万㎡以下或高度30m以上-50m以下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5555" w:type="dxa"/>
            <w:gridSpan w:val="9"/>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4281" w:type="dxa"/>
            <w:gridSpan w:val="7"/>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5千㎡以上-5万㎡以下</w:t>
            </w:r>
          </w:p>
        </w:tc>
        <w:tc>
          <w:tcPr>
            <w:tcW w:w="8668"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6建设单位要求建筑设计单位或者建筑施工企业降低消防技术标准设计、施工的处罚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330217479000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对违法要求降低消防技术标准设计、施工等行为的行政处罚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《中华人民共和国消防法》第五十九条　违反本法规定，有下列行为之一的，由住房和城乡建设主管部门责令改正或者停止施工，并处一万元以上十万元以下罚款：</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（一）建设单位要求建筑设计单位或者建筑施工企业降低消防技术标准设计、施工的；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责令改正或者停止施工，并处一万元以上十万元以下罚款。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1万元以上－2万元以下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2万元以上－3万元以下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5万元以上－6万元以下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7万元以上－8万元以下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8万元以上－9万元以下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9万元以上－10万元以下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3千㎡以上－9千㎡以下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5千㎡以上－2万㎡以下或高度30m以上－50m以下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2万㎡以上－4万㎡以下或高度30m以上－50m以下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4万㎡以上－6万㎡以下或高度50m以上－80m以下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6万㎡以上－8万㎡以下或高度80m以上－100m以下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8万㎡以－10万㎡以下或高度100m以上－150m以下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7建筑设计单位不按照消防技术标准强制性要求进行消防设计的处罚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330217481000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color w:val="auto"/>
                <w:kern w:val="0"/>
                <w:sz w:val="20"/>
                <w:szCs w:val="20"/>
              </w:rPr>
              <w:t>对不按照消防技术标准强制性要求进行消防设计的行政处罚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《中华人民共和国消防法》第五十九条　违反本法规定，有下列行为之一的，由住房和城乡建设主管部门责令改正或者停止施工，并处一万元以上十万元以下罚款：</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（二）建筑设计单位不按照消防技术标准强制性要求进行消防设计的；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责令改正或者停止施工，并处一万元以上十万元以下罚款。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1万元以上－2万元以下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2万元以上－3万元以下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5万元以上－6万元以下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7万元以上－8万元以下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8万元以上－9万元以下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9万元以上－10万元以下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3千㎡以上－9千㎡以下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6"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5千㎡以上－2万㎡以下或高度30m以上－50m以下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2万㎡以上－4万㎡以下或高度30m以上－50m以下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4万㎡以上－6万㎡以下或高度50m以上－80m以下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6万㎡以上－8万㎡以下或高度80m以上－100m以下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8万㎡以－10万㎡以下或高度100m以上－150m以下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8建筑施工企业不按照消防设计文件和消防技术标准施工，降低消防施工质量的的处罚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等待省库更新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等待省库更新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《中华人民共和国消防法》第五十九条　违反本法规定，有下列行为之一的，由住房和城乡建设主管部门责令改正或者停止施工，并处一万元以上十万元以下罚款：</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（三）建筑施工企业不按照消防设计文件和消防技术标准施工，降低消防施工质量的；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责令改正或者停止施工，并处一万元以上十万元以下罚款。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1万元以上－2万元以下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2万元以上－3万元以下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5万元以上－6万元以下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7万元以上－8万元以下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8万元以上－9万元以下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9万元以上－10万元以下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3千㎡以上－9千㎡以下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5千㎡以上－2万㎡以下或高度30m以上－50m以下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2万㎡以上－4万㎡以下或高度30m以上－50m以下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4万㎡以上－6万㎡以下或高度50m以上－80m以下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6万㎡以上－8万㎡以下或高度80m以上－100m以下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8万㎡以－10万㎡以下或高度100m以上－150m以下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9工程监理单位与建设单位或者建筑施工企业串通，弄虚作假，降低消防施工质量的处罚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权力基本码</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等待省库更新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权力名称</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等待省库更新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《中华人民共和国消防法》第五十九条　违反本法规定，有下列行为之一的，由住房和城乡建设主管部门责令改正或者停止施工，并处一万元以上十万元以下罚款：</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（四）工程监理单位与建设单位或者建筑施工企业串通，弄虚作假，降低消防施工质量的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责令改正或者停止施工，并处一万元以上十万元以下罚款。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国家工程建设消防技术标准规定的一类高层住宅建筑；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城市轨道交通、隧道工程，大型发电、变配电工程；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r>
              <w:rPr>
                <w:rFonts w:hint="eastAsia" w:asciiTheme="minorEastAsia" w:hAnsiTheme="minorEastAsia" w:eastAsiaTheme="minorEastAsia" w:cstheme="minorEastAsia"/>
                <w:color w:val="auto"/>
                <w:kern w:val="0"/>
                <w:sz w:val="20"/>
                <w:szCs w:val="20"/>
              </w:rPr>
              <w:t>生产、储存、装卸易燃易爆危险物品的工厂、仓库和专用车站、码头，易燃易爆气体和液体的充装站、供应站、调压站；</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r>
              <w:rPr>
                <w:rFonts w:hint="eastAsia" w:asciiTheme="minorEastAsia" w:hAnsiTheme="minorEastAsia" w:eastAsiaTheme="minorEastAsia" w:cstheme="minorEastAsia"/>
                <w:color w:val="auto"/>
                <w:kern w:val="0"/>
                <w:sz w:val="20"/>
                <w:szCs w:val="20"/>
              </w:rPr>
              <w:t>国家机关办公楼、电力调度楼、电信楼、邮政楼、防灾指挥调度楼、广播电视楼、档案楼；</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r>
              <w:rPr>
                <w:rFonts w:hint="eastAsia" w:asciiTheme="minorEastAsia" w:hAnsiTheme="minorEastAsia" w:eastAsiaTheme="minorEastAsia" w:cstheme="minorEastAsia"/>
                <w:color w:val="auto"/>
                <w:kern w:val="0"/>
                <w:sz w:val="20"/>
                <w:szCs w:val="20"/>
              </w:rPr>
              <w:t>设有本条第一项至第六项所列情形的建设工程；</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r>
              <w:rPr>
                <w:rFonts w:hint="eastAsia" w:asciiTheme="minorEastAsia" w:hAnsiTheme="minorEastAsia" w:eastAsiaTheme="minorEastAsia" w:cstheme="minorEastAsia"/>
                <w:color w:val="auto"/>
                <w:kern w:val="0"/>
                <w:sz w:val="20"/>
                <w:szCs w:val="20"/>
              </w:rPr>
              <w:t>类别10、类别11规定以外的单体建筑面积大于四万平方米或者建筑高度超过五十米的公共建筑。</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1万元以上－2万元以下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2万元以上－3万元以下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5万元以上－6万元以下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7万元以上－8万元以下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8万元以上－9万元以下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9万元以上－10万元以下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3千㎡以上－9千㎡以下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5万㎡以上－8万㎡以下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8万㎡以上－11万㎡以下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11万㎡以上－15万㎡以下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1.5千㎡以上－2.5千㎡以下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500㎡以上－1千㎡以下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5千㎡以上－7千㎡以下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7千㎡以上－1万㎡以下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3.5万㎡以上－5万㎡以下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1千㎡以上－2千㎡以下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10万㎡以上－20万㎡以下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类别9</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类别10</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5千㎡以上－2万㎡以下或高度30m以上－50m以下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2万㎡以上－4万㎡以下或高度30m以上－50m以下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4万㎡以上－6万㎡以下或高度50m以上－80m以下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6万㎡以上－8万㎡以下或高度80m以上－100m以下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8万㎡以－10万㎡以下或高度100m以上－150m以下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10万㎡以上－12万㎡以下或高度150m以上－170m以下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12万㎡以上－15万㎡以下或高度170m以上200m以下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15万㎡以上－20万㎡以下或高度200m以上－300m以下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20万㎡以上或高度300m以上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类别11</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参照该类违法行为一至六类别的处罚标准确定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1公里以下或1万㎡以下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1公里以上－2公里以下或1万㎡以上－2万㎡以下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2公里以上－3公里以下或2万㎡以上－3万㎡以下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3公里以上－5公里以下或3万㎡以上－5万㎡以下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5公里以上－7公里以下或5万㎡以上－7万㎡以下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7公里以上－10公里以下或7万㎡以上－10万㎡以下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10公里以上－15公里以下或10万㎡以上－15万㎡以下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15公里以上－20公里以下或15万㎡以上－20万㎡以下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20公里以上－50公里以下或20万㎡以上－50万㎡以下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50公里以上或50万㎡以上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编号</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lang w:val="en-US" w:eastAsia="zh-CN"/>
              </w:rPr>
              <w:t>10</w:t>
            </w:r>
            <w:r>
              <w:rPr>
                <w:rFonts w:hint="eastAsia" w:asciiTheme="minorEastAsia" w:hAnsiTheme="minorEastAsia" w:eastAsiaTheme="minorEastAsia" w:cstheme="minorEastAsia"/>
                <w:b/>
                <w:bCs/>
                <w:color w:val="auto"/>
                <w:kern w:val="0"/>
                <w:sz w:val="24"/>
                <w:szCs w:val="24"/>
              </w:rPr>
              <w:t>其他建设工程验收后经依法抽查不合格不停止使用的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违法</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行为</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第五十八条　违反本法规定，有下列行为之一的，由住房和城乡建设主管部门、消防救援机构按照各自职权责令停止施工、停止使用或者停产停业，并处三万元以上三十万元以下罚款：（三）本法第十三条规定的其他建设工程验收后经依法抽查不合格，不停止使用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处罚种类及幅度</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责令停止施工、停止使用或者停产停业，并处三万元以上三十万元以下罚款。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使用</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功能</w:t>
            </w:r>
          </w:p>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w:t>
            </w:r>
          </w:p>
        </w:tc>
        <w:tc>
          <w:tcPr>
            <w:tcW w:w="18504" w:type="dxa"/>
            <w:gridSpan w:val="21"/>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r>
              <w:rPr>
                <w:rFonts w:hint="eastAsia" w:asciiTheme="minorEastAsia" w:hAnsiTheme="minorEastAsia" w:eastAsiaTheme="minorEastAsia" w:cstheme="minorEastAsia"/>
                <w:color w:val="auto"/>
                <w:kern w:val="0"/>
                <w:sz w:val="20"/>
                <w:szCs w:val="20"/>
              </w:rPr>
              <w:t>体育场馆、会堂，公共展览馆、博物馆的展示厅；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r>
              <w:rPr>
                <w:rFonts w:hint="eastAsia" w:asciiTheme="minorEastAsia" w:hAnsiTheme="minorEastAsia" w:eastAsiaTheme="minorEastAsia" w:cstheme="minorEastAsia"/>
                <w:color w:val="auto"/>
                <w:kern w:val="0"/>
                <w:sz w:val="20"/>
                <w:szCs w:val="20"/>
              </w:rPr>
              <w:t>民用机场航站楼、客运车站候车室、客运码头候船厅；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r>
              <w:rPr>
                <w:rFonts w:hint="eastAsia" w:asciiTheme="minorEastAsia" w:hAnsiTheme="minorEastAsia" w:eastAsiaTheme="minorEastAsia" w:cstheme="minorEastAsia"/>
                <w:color w:val="auto"/>
                <w:kern w:val="0"/>
                <w:sz w:val="20"/>
                <w:szCs w:val="20"/>
              </w:rPr>
              <w:t>宾馆、饭店、商场、市场；</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r>
              <w:rPr>
                <w:rFonts w:hint="eastAsia" w:asciiTheme="minorEastAsia" w:hAnsiTheme="minorEastAsia" w:eastAsiaTheme="minorEastAsia" w:cstheme="minorEastAsia"/>
                <w:color w:val="auto"/>
                <w:kern w:val="0"/>
                <w:sz w:val="20"/>
                <w:szCs w:val="20"/>
              </w:rPr>
              <w:t xml:space="preserve">影剧院，公共图书馆的阅览室，营业性室内健身、休闲场馆，医院的门诊楼，大学的教学楼、图书馆、食堂，劳动密集型企业的生产加工车间，寺庙、教堂；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r>
              <w:rPr>
                <w:rFonts w:hint="eastAsia" w:asciiTheme="minorEastAsia" w:hAnsiTheme="minorEastAsia" w:eastAsiaTheme="minorEastAsia" w:cstheme="minorEastAsia"/>
                <w:color w:val="auto"/>
                <w:kern w:val="0"/>
                <w:sz w:val="20"/>
                <w:szCs w:val="20"/>
              </w:rPr>
              <w:t xml:space="preserve">托儿所、幼儿园的儿童用房，儿童游乐厅等室内儿童活动场所，养老院、福利院，医院、疗养院的病房楼，中小学校的教学楼、图书馆、食堂，学校的集体宿舍，劳动密集型企业的员工集体宿舍；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r>
              <w:rPr>
                <w:rFonts w:hint="eastAsia" w:asciiTheme="minorEastAsia" w:hAnsiTheme="minorEastAsia" w:eastAsiaTheme="minorEastAsia" w:cstheme="minorEastAsia"/>
                <w:color w:val="auto"/>
                <w:kern w:val="0"/>
                <w:sz w:val="20"/>
                <w:szCs w:val="20"/>
              </w:rPr>
              <w:t>歌舞厅、录像厅、放映厅、卡拉ＯＫ厅、夜总会、游艺厅、桑拿浴室、网吧、酒吧，具有娱乐功能的餐馆、茶馆、咖啡厅；</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r>
              <w:rPr>
                <w:rFonts w:hint="eastAsia" w:asciiTheme="minorEastAsia" w:hAnsiTheme="minorEastAsia" w:eastAsiaTheme="minorEastAsia" w:cstheme="minorEastAsia"/>
                <w:color w:val="auto"/>
                <w:kern w:val="0"/>
                <w:sz w:val="20"/>
                <w:szCs w:val="20"/>
              </w:rPr>
              <w:t xml:space="preserve">类别1至类别6规定以外的单体建筑面积不大于四万平方米或者建筑高度不超过五十米的属于备案范围的公共建筑； </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r>
              <w:rPr>
                <w:rFonts w:hint="eastAsia" w:asciiTheme="minorEastAsia" w:hAnsiTheme="minorEastAsia" w:eastAsiaTheme="minorEastAsia" w:cstheme="minorEastAsia"/>
                <w:color w:val="auto"/>
                <w:kern w:val="0"/>
                <w:sz w:val="20"/>
                <w:szCs w:val="20"/>
              </w:rPr>
              <w:t>其它属于备案范围的建设工程。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量罚</w:t>
            </w:r>
          </w:p>
          <w:p>
            <w:pPr>
              <w:widowControl/>
              <w:ind w:firstLine="401" w:firstLineChars="200"/>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区间</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3万元以上-3.5万元以下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3.5万元以上-4万元以下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4万元以上-5万元以下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5万元以上-7万元以下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7万元以上-11万元以下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11万元以上-16万元以下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16万元以上-22万元以下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22万元以上-26万元以下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26万元以上-30万元以下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类别1</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6千㎡以上－8千㎡以下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8千㎡以上－1万㎡以下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1.2万㎡以上－1.4万㎡以下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1.4万㎡以上－1.6万㎡以下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1.6万㎡以上－1.8万㎡以下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1.8万㎡以上－1.9万㎡以下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1.9万㎡以上－2万㎡以下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类别2</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3千㎡以上－4.5千㎡以下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4.5千㎡以上－6千㎡以下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6千㎡以上－7.5千㎡以下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7.5千㎡以上－9千㎡以下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9千㎡以上－1.05万㎡以下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1.05万㎡以上－1.15万㎡以下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1.15万㎡以上－1.3万㎡以下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1.3万㎡以上－1.45万㎡以下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1.45万㎡以上－1.5万㎡以下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类别3</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2千㎡以上－3千㎡以下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3千㎡以上－4千㎡以下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4千㎡以上－5千㎡以下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5千㎡以上－6千㎡以下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6千㎡以上－7千㎡以下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7千㎡以上－8千㎡以下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8千㎡以上－9千㎡以下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9千㎡以上－9.5千㎡以下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9.5千㎡以上－1万㎡以下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类别4</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1.5千㎡以上－1.6千㎡以下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1.6千㎡以上－1.8千㎡以下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1.8千㎡以上－2千㎡以下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2千㎡以上－2.1千㎡以下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2.1千㎡以上－2.2千㎡以下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2.2千㎡以上－2.3千㎡以下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2.3千㎡以上－2.4千㎡以下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2.4千㎡以上－2.45千㎡以下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2.45千㎡以上－2.5千㎡以下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类别5</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600㎡以上－650㎡以下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650㎡以上－700㎡以下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700㎡以上－800㎡以下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800㎡以上－850㎡以下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850㎡以上－900㎡以下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900㎡以上－930㎡以下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930㎡以上－960㎡以下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960㎡以上－980㎡以下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980㎡以上－1千㎡以下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类别6</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300㎡以上－330㎡以下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330㎡以上－360㎡以下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360㎡以上－400㎡以下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400㎡以上－420㎡以下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420㎡以上－450㎡以下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450㎡以上－460㎡以下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460㎡以上－480㎡以下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480㎡以上－490㎡以下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490㎡以上－500㎡以下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类别7</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5千㎡以上－6千㎡以下且高度30m以下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6千㎡以上－8千㎡以下且高度30m以下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8千㎡以上－1万㎡以下且高度30m以下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1万㎡以上－1.5万㎡以下且高度30m以下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1.5万㎡以上－2万㎡以下且高度50m以下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2万㎡以上－2.5万㎡以下，且高度50m以下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2.5万㎡以上－3万㎡以下，且高度50m以下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3万㎡以上－3.5万㎡以下，且高度50m以下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3.5万㎡以上－4万㎡以下，且高度50m以下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
                <w:bCs/>
                <w:color w:val="auto"/>
                <w:kern w:val="0"/>
                <w:sz w:val="20"/>
                <w:szCs w:val="20"/>
              </w:rPr>
              <w:t>类别8</w:t>
            </w:r>
          </w:p>
        </w:tc>
        <w:tc>
          <w:tcPr>
            <w:tcW w:w="12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5千㎡以上－1万㎡以下</w:t>
            </w:r>
          </w:p>
        </w:tc>
        <w:tc>
          <w:tcPr>
            <w:tcW w:w="141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1万㎡以上－2万㎡以下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2万㎡以上－3万㎡以下</w:t>
            </w:r>
          </w:p>
        </w:tc>
        <w:tc>
          <w:tcPr>
            <w:tcW w:w="1418"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3万㎡以上－4万㎡以下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4万㎡以上－5万㎡以下</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5万㎡以上－7万㎡以下</w:t>
            </w:r>
          </w:p>
        </w:tc>
        <w:tc>
          <w:tcPr>
            <w:tcW w:w="14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7万㎡以上－10万㎡以下</w:t>
            </w:r>
          </w:p>
        </w:tc>
        <w:tc>
          <w:tcPr>
            <w:tcW w:w="142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10万㎡以上－15万㎡以下</w:t>
            </w:r>
          </w:p>
        </w:tc>
        <w:tc>
          <w:tcPr>
            <w:tcW w:w="5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15万㎡以上</w:t>
            </w:r>
          </w:p>
        </w:tc>
      </w:tr>
    </w:tbl>
    <w:p>
      <w:pPr>
        <w:widowControl/>
        <w:shd w:val="clear" w:color="auto" w:fill="FFFFFF"/>
        <w:spacing w:before="100" w:beforeAutospacing="1" w:after="100" w:afterAutospacing="1" w:line="330" w:lineRule="atLeast"/>
        <w:jc w:val="center"/>
        <w:rPr>
          <w:rFonts w:hint="eastAsia" w:ascii="宋体" w:hAnsi="宋体" w:cs="宋体"/>
          <w:spacing w:val="15"/>
          <w:kern w:val="0"/>
          <w:szCs w:val="21"/>
        </w:rPr>
      </w:pPr>
    </w:p>
    <w:p>
      <w:pPr>
        <w:widowControl/>
        <w:shd w:val="clear" w:color="auto" w:fill="FFFFFF"/>
        <w:spacing w:before="100" w:beforeAutospacing="1" w:after="100" w:afterAutospacing="1" w:line="330" w:lineRule="atLeast"/>
        <w:jc w:val="both"/>
        <w:rPr>
          <w:rFonts w:ascii="宋体" w:hAnsi="宋体" w:cs="宋体"/>
          <w:spacing w:val="15"/>
          <w:kern w:val="0"/>
          <w:szCs w:val="21"/>
        </w:rPr>
      </w:pPr>
      <w:bookmarkStart w:id="0" w:name="_GoBack"/>
      <w:bookmarkEnd w:id="0"/>
    </w:p>
    <w:p>
      <w:pPr>
        <w:rPr>
          <w:rFonts w:ascii="宋体" w:hAnsi="宋体"/>
          <w:sz w:val="18"/>
          <w:szCs w:val="18"/>
        </w:rPr>
      </w:pPr>
    </w:p>
    <w:sectPr>
      <w:headerReference r:id="rId5" w:type="first"/>
      <w:footerReference r:id="rId8" w:type="first"/>
      <w:headerReference r:id="rId3" w:type="default"/>
      <w:footerReference r:id="rId6" w:type="default"/>
      <w:headerReference r:id="rId4" w:type="even"/>
      <w:footerReference r:id="rId7" w:type="even"/>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144</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289C"/>
    <w:rsid w:val="00006CBA"/>
    <w:rsid w:val="0003288B"/>
    <w:rsid w:val="000328C2"/>
    <w:rsid w:val="00034F5A"/>
    <w:rsid w:val="00037BF3"/>
    <w:rsid w:val="00050968"/>
    <w:rsid w:val="00053306"/>
    <w:rsid w:val="00054B57"/>
    <w:rsid w:val="00065241"/>
    <w:rsid w:val="00067EBA"/>
    <w:rsid w:val="00077027"/>
    <w:rsid w:val="0008098A"/>
    <w:rsid w:val="00085C63"/>
    <w:rsid w:val="00086BBE"/>
    <w:rsid w:val="000A1E79"/>
    <w:rsid w:val="000A7CE2"/>
    <w:rsid w:val="000C6EE5"/>
    <w:rsid w:val="000D53F5"/>
    <w:rsid w:val="000D6EFF"/>
    <w:rsid w:val="000D6F35"/>
    <w:rsid w:val="000F14E1"/>
    <w:rsid w:val="00132EEC"/>
    <w:rsid w:val="00163A07"/>
    <w:rsid w:val="001702B0"/>
    <w:rsid w:val="001767D2"/>
    <w:rsid w:val="00184EBF"/>
    <w:rsid w:val="00187136"/>
    <w:rsid w:val="00195201"/>
    <w:rsid w:val="001A74DE"/>
    <w:rsid w:val="001C4BA4"/>
    <w:rsid w:val="001D102A"/>
    <w:rsid w:val="001F291A"/>
    <w:rsid w:val="001F495A"/>
    <w:rsid w:val="001F7E17"/>
    <w:rsid w:val="00200435"/>
    <w:rsid w:val="00204E03"/>
    <w:rsid w:val="00212CFD"/>
    <w:rsid w:val="00212E2F"/>
    <w:rsid w:val="0021356C"/>
    <w:rsid w:val="00274AB7"/>
    <w:rsid w:val="00284B32"/>
    <w:rsid w:val="00287425"/>
    <w:rsid w:val="00290AE1"/>
    <w:rsid w:val="00295B60"/>
    <w:rsid w:val="002C0544"/>
    <w:rsid w:val="002C0935"/>
    <w:rsid w:val="002D41B7"/>
    <w:rsid w:val="002E0B4A"/>
    <w:rsid w:val="002F2CBB"/>
    <w:rsid w:val="00311A51"/>
    <w:rsid w:val="00320BEF"/>
    <w:rsid w:val="00355761"/>
    <w:rsid w:val="00360593"/>
    <w:rsid w:val="003622DD"/>
    <w:rsid w:val="0037453C"/>
    <w:rsid w:val="00374B58"/>
    <w:rsid w:val="00381710"/>
    <w:rsid w:val="00387FD0"/>
    <w:rsid w:val="003A6E93"/>
    <w:rsid w:val="003B0C6F"/>
    <w:rsid w:val="003B18D7"/>
    <w:rsid w:val="003C64CF"/>
    <w:rsid w:val="003D16F2"/>
    <w:rsid w:val="003E3F06"/>
    <w:rsid w:val="003E6FC8"/>
    <w:rsid w:val="003E7D40"/>
    <w:rsid w:val="003F4621"/>
    <w:rsid w:val="003F65A6"/>
    <w:rsid w:val="004134FA"/>
    <w:rsid w:val="004408D0"/>
    <w:rsid w:val="00447152"/>
    <w:rsid w:val="00447E44"/>
    <w:rsid w:val="00473A5E"/>
    <w:rsid w:val="0047523B"/>
    <w:rsid w:val="00482F46"/>
    <w:rsid w:val="004A4F66"/>
    <w:rsid w:val="004B26C3"/>
    <w:rsid w:val="004B7966"/>
    <w:rsid w:val="004D46F6"/>
    <w:rsid w:val="004D56D2"/>
    <w:rsid w:val="004E01C4"/>
    <w:rsid w:val="004E52CF"/>
    <w:rsid w:val="004E7EC5"/>
    <w:rsid w:val="004F1E2F"/>
    <w:rsid w:val="00502450"/>
    <w:rsid w:val="005119AA"/>
    <w:rsid w:val="00530384"/>
    <w:rsid w:val="00533FC0"/>
    <w:rsid w:val="005356A1"/>
    <w:rsid w:val="00546D0B"/>
    <w:rsid w:val="0055452B"/>
    <w:rsid w:val="0056347F"/>
    <w:rsid w:val="005740F4"/>
    <w:rsid w:val="00577001"/>
    <w:rsid w:val="00581B2A"/>
    <w:rsid w:val="00587EBC"/>
    <w:rsid w:val="00591D72"/>
    <w:rsid w:val="00592635"/>
    <w:rsid w:val="005A4A55"/>
    <w:rsid w:val="005B101A"/>
    <w:rsid w:val="005B41D4"/>
    <w:rsid w:val="005B5CE8"/>
    <w:rsid w:val="005B5E58"/>
    <w:rsid w:val="005C6202"/>
    <w:rsid w:val="005C7438"/>
    <w:rsid w:val="005C7701"/>
    <w:rsid w:val="005D3938"/>
    <w:rsid w:val="005E104E"/>
    <w:rsid w:val="005F210E"/>
    <w:rsid w:val="0060217E"/>
    <w:rsid w:val="00602B20"/>
    <w:rsid w:val="00607F1B"/>
    <w:rsid w:val="00621102"/>
    <w:rsid w:val="00622FFD"/>
    <w:rsid w:val="00631417"/>
    <w:rsid w:val="00636E8E"/>
    <w:rsid w:val="00640B0B"/>
    <w:rsid w:val="006447BB"/>
    <w:rsid w:val="00644AE4"/>
    <w:rsid w:val="006551D0"/>
    <w:rsid w:val="00677F1D"/>
    <w:rsid w:val="00691C83"/>
    <w:rsid w:val="006A5A23"/>
    <w:rsid w:val="006C17F7"/>
    <w:rsid w:val="006C2D74"/>
    <w:rsid w:val="006C7268"/>
    <w:rsid w:val="006D1B63"/>
    <w:rsid w:val="006D33B3"/>
    <w:rsid w:val="006F1AB3"/>
    <w:rsid w:val="006F3E27"/>
    <w:rsid w:val="007100E9"/>
    <w:rsid w:val="00711CDE"/>
    <w:rsid w:val="00715C44"/>
    <w:rsid w:val="007249E1"/>
    <w:rsid w:val="00742BC7"/>
    <w:rsid w:val="00750331"/>
    <w:rsid w:val="007529E3"/>
    <w:rsid w:val="00757DDB"/>
    <w:rsid w:val="00760173"/>
    <w:rsid w:val="007634B5"/>
    <w:rsid w:val="007752E1"/>
    <w:rsid w:val="007761BC"/>
    <w:rsid w:val="0078720E"/>
    <w:rsid w:val="007944AF"/>
    <w:rsid w:val="00796AB9"/>
    <w:rsid w:val="007A15DB"/>
    <w:rsid w:val="007B5804"/>
    <w:rsid w:val="007C2F35"/>
    <w:rsid w:val="007D0BF6"/>
    <w:rsid w:val="007D2BD9"/>
    <w:rsid w:val="007D3813"/>
    <w:rsid w:val="008074A9"/>
    <w:rsid w:val="0082439A"/>
    <w:rsid w:val="008266CD"/>
    <w:rsid w:val="0084234D"/>
    <w:rsid w:val="00855092"/>
    <w:rsid w:val="008628D4"/>
    <w:rsid w:val="00871438"/>
    <w:rsid w:val="008A0F2F"/>
    <w:rsid w:val="008A475B"/>
    <w:rsid w:val="008A698F"/>
    <w:rsid w:val="008A6A9E"/>
    <w:rsid w:val="008B0614"/>
    <w:rsid w:val="008B7E7C"/>
    <w:rsid w:val="008F0708"/>
    <w:rsid w:val="009003DF"/>
    <w:rsid w:val="00904458"/>
    <w:rsid w:val="00904C11"/>
    <w:rsid w:val="0090633A"/>
    <w:rsid w:val="0091108A"/>
    <w:rsid w:val="00920877"/>
    <w:rsid w:val="00934266"/>
    <w:rsid w:val="00956C33"/>
    <w:rsid w:val="00963E31"/>
    <w:rsid w:val="00963EA9"/>
    <w:rsid w:val="0097209D"/>
    <w:rsid w:val="009848AA"/>
    <w:rsid w:val="00987337"/>
    <w:rsid w:val="009B3714"/>
    <w:rsid w:val="009C1CF9"/>
    <w:rsid w:val="009C7A78"/>
    <w:rsid w:val="009D2D3D"/>
    <w:rsid w:val="009D68FF"/>
    <w:rsid w:val="009F77BE"/>
    <w:rsid w:val="00A01B6E"/>
    <w:rsid w:val="00A07230"/>
    <w:rsid w:val="00A07D99"/>
    <w:rsid w:val="00A10039"/>
    <w:rsid w:val="00A13FCA"/>
    <w:rsid w:val="00A26A78"/>
    <w:rsid w:val="00A30718"/>
    <w:rsid w:val="00A31BE1"/>
    <w:rsid w:val="00A55169"/>
    <w:rsid w:val="00A60BF2"/>
    <w:rsid w:val="00A747B4"/>
    <w:rsid w:val="00A76089"/>
    <w:rsid w:val="00A92DF2"/>
    <w:rsid w:val="00A93420"/>
    <w:rsid w:val="00A96592"/>
    <w:rsid w:val="00AC4B40"/>
    <w:rsid w:val="00AD20FB"/>
    <w:rsid w:val="00AD45E0"/>
    <w:rsid w:val="00AD5ABF"/>
    <w:rsid w:val="00AE227B"/>
    <w:rsid w:val="00B10236"/>
    <w:rsid w:val="00B21C26"/>
    <w:rsid w:val="00B26248"/>
    <w:rsid w:val="00B361D2"/>
    <w:rsid w:val="00B64BC6"/>
    <w:rsid w:val="00B674B2"/>
    <w:rsid w:val="00B67BBA"/>
    <w:rsid w:val="00B95014"/>
    <w:rsid w:val="00BB1217"/>
    <w:rsid w:val="00BB59A4"/>
    <w:rsid w:val="00BD5027"/>
    <w:rsid w:val="00BF47A5"/>
    <w:rsid w:val="00C036F5"/>
    <w:rsid w:val="00C12ED9"/>
    <w:rsid w:val="00C13041"/>
    <w:rsid w:val="00C27EC3"/>
    <w:rsid w:val="00C33B09"/>
    <w:rsid w:val="00C3465D"/>
    <w:rsid w:val="00C43B9E"/>
    <w:rsid w:val="00C53942"/>
    <w:rsid w:val="00C6082E"/>
    <w:rsid w:val="00C73C9A"/>
    <w:rsid w:val="00C7560A"/>
    <w:rsid w:val="00C96D81"/>
    <w:rsid w:val="00CB6CA1"/>
    <w:rsid w:val="00CB73E2"/>
    <w:rsid w:val="00CE4D3D"/>
    <w:rsid w:val="00D03D99"/>
    <w:rsid w:val="00D06877"/>
    <w:rsid w:val="00D13276"/>
    <w:rsid w:val="00D35C3A"/>
    <w:rsid w:val="00D62C31"/>
    <w:rsid w:val="00D70DE4"/>
    <w:rsid w:val="00D87BD0"/>
    <w:rsid w:val="00DA0786"/>
    <w:rsid w:val="00DA4B53"/>
    <w:rsid w:val="00DB0AD6"/>
    <w:rsid w:val="00DC3E8E"/>
    <w:rsid w:val="00DD229D"/>
    <w:rsid w:val="00DE2137"/>
    <w:rsid w:val="00DE5177"/>
    <w:rsid w:val="00E028F4"/>
    <w:rsid w:val="00E03627"/>
    <w:rsid w:val="00E26CB5"/>
    <w:rsid w:val="00E5289C"/>
    <w:rsid w:val="00E56E64"/>
    <w:rsid w:val="00E65221"/>
    <w:rsid w:val="00E700DF"/>
    <w:rsid w:val="00E86E39"/>
    <w:rsid w:val="00E90C23"/>
    <w:rsid w:val="00EA0911"/>
    <w:rsid w:val="00EA72EF"/>
    <w:rsid w:val="00ED3DEA"/>
    <w:rsid w:val="00ED5C7F"/>
    <w:rsid w:val="00EE1526"/>
    <w:rsid w:val="00F002D4"/>
    <w:rsid w:val="00F05485"/>
    <w:rsid w:val="00F06252"/>
    <w:rsid w:val="00F16317"/>
    <w:rsid w:val="00F2440A"/>
    <w:rsid w:val="00F25C7A"/>
    <w:rsid w:val="00F35D79"/>
    <w:rsid w:val="00F52A4D"/>
    <w:rsid w:val="00F53975"/>
    <w:rsid w:val="00F62DA9"/>
    <w:rsid w:val="00F66143"/>
    <w:rsid w:val="00F77287"/>
    <w:rsid w:val="00F90FA3"/>
    <w:rsid w:val="00FC4FF3"/>
    <w:rsid w:val="00FD6AF1"/>
    <w:rsid w:val="00FE553A"/>
    <w:rsid w:val="00FF05A6"/>
    <w:rsid w:val="00FF3EC4"/>
    <w:rsid w:val="02FB73E2"/>
    <w:rsid w:val="03C23183"/>
    <w:rsid w:val="06FE47ED"/>
    <w:rsid w:val="0B8D4BC5"/>
    <w:rsid w:val="0BFA665D"/>
    <w:rsid w:val="0CA51C68"/>
    <w:rsid w:val="0CDDC088"/>
    <w:rsid w:val="0DFD0A7C"/>
    <w:rsid w:val="108F1B66"/>
    <w:rsid w:val="12514135"/>
    <w:rsid w:val="142147BB"/>
    <w:rsid w:val="14C54E51"/>
    <w:rsid w:val="15FFEF0D"/>
    <w:rsid w:val="178B1303"/>
    <w:rsid w:val="17F7F148"/>
    <w:rsid w:val="186F1246"/>
    <w:rsid w:val="194B4B1E"/>
    <w:rsid w:val="1DCC746F"/>
    <w:rsid w:val="1EBD220E"/>
    <w:rsid w:val="1EF34094"/>
    <w:rsid w:val="1EFF3020"/>
    <w:rsid w:val="1F7B3549"/>
    <w:rsid w:val="1F7B6BE9"/>
    <w:rsid w:val="1FF1B598"/>
    <w:rsid w:val="1FF78F59"/>
    <w:rsid w:val="228C453A"/>
    <w:rsid w:val="22D017AB"/>
    <w:rsid w:val="24122CAF"/>
    <w:rsid w:val="241C6CE5"/>
    <w:rsid w:val="25C623AA"/>
    <w:rsid w:val="25ED0EAF"/>
    <w:rsid w:val="267A1845"/>
    <w:rsid w:val="268F3661"/>
    <w:rsid w:val="27F31318"/>
    <w:rsid w:val="288F76E4"/>
    <w:rsid w:val="293C7810"/>
    <w:rsid w:val="29FB155A"/>
    <w:rsid w:val="2BBC3948"/>
    <w:rsid w:val="2BEF4D14"/>
    <w:rsid w:val="2C03108E"/>
    <w:rsid w:val="2F9F7E44"/>
    <w:rsid w:val="2FB0E849"/>
    <w:rsid w:val="2FDF542E"/>
    <w:rsid w:val="32277281"/>
    <w:rsid w:val="328C3532"/>
    <w:rsid w:val="347A51A5"/>
    <w:rsid w:val="34EB0BB5"/>
    <w:rsid w:val="36976744"/>
    <w:rsid w:val="3B6EC58B"/>
    <w:rsid w:val="3B77A964"/>
    <w:rsid w:val="3BEFFA3D"/>
    <w:rsid w:val="3DDB7047"/>
    <w:rsid w:val="3EBF9A16"/>
    <w:rsid w:val="3ED770D2"/>
    <w:rsid w:val="3EEF3546"/>
    <w:rsid w:val="3F4C5850"/>
    <w:rsid w:val="3FABBCDB"/>
    <w:rsid w:val="3FBBD916"/>
    <w:rsid w:val="423B3178"/>
    <w:rsid w:val="43351B69"/>
    <w:rsid w:val="46FB394C"/>
    <w:rsid w:val="478942B3"/>
    <w:rsid w:val="48B70CDD"/>
    <w:rsid w:val="4B6D7B2F"/>
    <w:rsid w:val="4CB229E2"/>
    <w:rsid w:val="4CFFFE09"/>
    <w:rsid w:val="4EFF28F1"/>
    <w:rsid w:val="4FDDCF7A"/>
    <w:rsid w:val="5055511C"/>
    <w:rsid w:val="50707480"/>
    <w:rsid w:val="50EE631B"/>
    <w:rsid w:val="51A561CF"/>
    <w:rsid w:val="521D46E6"/>
    <w:rsid w:val="53F5B9AE"/>
    <w:rsid w:val="55035FFF"/>
    <w:rsid w:val="557B5FDD"/>
    <w:rsid w:val="56FC015F"/>
    <w:rsid w:val="57FF03D5"/>
    <w:rsid w:val="58EC215C"/>
    <w:rsid w:val="59F7430A"/>
    <w:rsid w:val="59FFA27A"/>
    <w:rsid w:val="5B0F689D"/>
    <w:rsid w:val="5BEDE58E"/>
    <w:rsid w:val="5C4C3DC9"/>
    <w:rsid w:val="5D1AC50A"/>
    <w:rsid w:val="5DFC7EDA"/>
    <w:rsid w:val="5E753B17"/>
    <w:rsid w:val="5E9E4093"/>
    <w:rsid w:val="5F0E6586"/>
    <w:rsid w:val="5FF19167"/>
    <w:rsid w:val="5FFBAFA3"/>
    <w:rsid w:val="600446ED"/>
    <w:rsid w:val="606138F9"/>
    <w:rsid w:val="60BC1EEE"/>
    <w:rsid w:val="620E5F20"/>
    <w:rsid w:val="63F6EF2A"/>
    <w:rsid w:val="647E7C59"/>
    <w:rsid w:val="65DF8739"/>
    <w:rsid w:val="66C50CBC"/>
    <w:rsid w:val="67F6AB4F"/>
    <w:rsid w:val="67FDB609"/>
    <w:rsid w:val="687857B6"/>
    <w:rsid w:val="69E16162"/>
    <w:rsid w:val="6B740A86"/>
    <w:rsid w:val="6BDF0018"/>
    <w:rsid w:val="6D9C757B"/>
    <w:rsid w:val="6E307B94"/>
    <w:rsid w:val="6EDFE685"/>
    <w:rsid w:val="6F7F31BA"/>
    <w:rsid w:val="6F7FAC55"/>
    <w:rsid w:val="6F833E88"/>
    <w:rsid w:val="6FBB7D20"/>
    <w:rsid w:val="6FBDDBF4"/>
    <w:rsid w:val="6FDF8553"/>
    <w:rsid w:val="6FE95DD7"/>
    <w:rsid w:val="6FEA68C9"/>
    <w:rsid w:val="6FFB5785"/>
    <w:rsid w:val="6FFE71DC"/>
    <w:rsid w:val="6FFFDF1A"/>
    <w:rsid w:val="72FF9EC9"/>
    <w:rsid w:val="73F7E3F7"/>
    <w:rsid w:val="75D5627A"/>
    <w:rsid w:val="75E50A98"/>
    <w:rsid w:val="76B73060"/>
    <w:rsid w:val="77555DD9"/>
    <w:rsid w:val="778F8878"/>
    <w:rsid w:val="77EDD193"/>
    <w:rsid w:val="77EE89E3"/>
    <w:rsid w:val="77FBD3D4"/>
    <w:rsid w:val="78BBC95A"/>
    <w:rsid w:val="79BB5702"/>
    <w:rsid w:val="79DFDA8A"/>
    <w:rsid w:val="79F68973"/>
    <w:rsid w:val="7A9B5A00"/>
    <w:rsid w:val="7B291CEE"/>
    <w:rsid w:val="7BDB8AE4"/>
    <w:rsid w:val="7BEFE6F9"/>
    <w:rsid w:val="7BFE1E7C"/>
    <w:rsid w:val="7BFF721A"/>
    <w:rsid w:val="7BFFDC11"/>
    <w:rsid w:val="7D5F9BEA"/>
    <w:rsid w:val="7D7FDAFA"/>
    <w:rsid w:val="7DD063D2"/>
    <w:rsid w:val="7DF358CD"/>
    <w:rsid w:val="7DFBEF36"/>
    <w:rsid w:val="7E4B2097"/>
    <w:rsid w:val="7E77D01D"/>
    <w:rsid w:val="7E784EDD"/>
    <w:rsid w:val="7EA558C9"/>
    <w:rsid w:val="7EDEF3EA"/>
    <w:rsid w:val="7EE4F7BC"/>
    <w:rsid w:val="7F194892"/>
    <w:rsid w:val="7F2B8961"/>
    <w:rsid w:val="7F33E395"/>
    <w:rsid w:val="7F7052A0"/>
    <w:rsid w:val="7F7793EC"/>
    <w:rsid w:val="7F7B418B"/>
    <w:rsid w:val="7F9BB233"/>
    <w:rsid w:val="7F9EBA18"/>
    <w:rsid w:val="7F9F37AD"/>
    <w:rsid w:val="7FAD2394"/>
    <w:rsid w:val="7FCDA8E8"/>
    <w:rsid w:val="7FE597CA"/>
    <w:rsid w:val="7FFA5991"/>
    <w:rsid w:val="7FFD02A0"/>
    <w:rsid w:val="7FFDEF18"/>
    <w:rsid w:val="7FFF1291"/>
    <w:rsid w:val="867F6BF9"/>
    <w:rsid w:val="8BBD362B"/>
    <w:rsid w:val="96F57722"/>
    <w:rsid w:val="97DDE010"/>
    <w:rsid w:val="9DA3BCFE"/>
    <w:rsid w:val="9F9DA05F"/>
    <w:rsid w:val="ABEF32D0"/>
    <w:rsid w:val="AEEF575F"/>
    <w:rsid w:val="AEFF5B72"/>
    <w:rsid w:val="AF6FFBCC"/>
    <w:rsid w:val="AF768D77"/>
    <w:rsid w:val="B477255C"/>
    <w:rsid w:val="B4C79893"/>
    <w:rsid w:val="B53FBD20"/>
    <w:rsid w:val="B8FF6752"/>
    <w:rsid w:val="BBDDFBB8"/>
    <w:rsid w:val="BEB9AA25"/>
    <w:rsid w:val="BEDFD9FF"/>
    <w:rsid w:val="BEF7DEB5"/>
    <w:rsid w:val="BFDE3CAC"/>
    <w:rsid w:val="BFFFE16B"/>
    <w:rsid w:val="C62E6A65"/>
    <w:rsid w:val="CDCF3C11"/>
    <w:rsid w:val="CFFD9C24"/>
    <w:rsid w:val="CFFEF9CD"/>
    <w:rsid w:val="D0CFED8A"/>
    <w:rsid w:val="D1FF4523"/>
    <w:rsid w:val="D5FEF86F"/>
    <w:rsid w:val="D7B996E7"/>
    <w:rsid w:val="D7BBC249"/>
    <w:rsid w:val="D9FB2286"/>
    <w:rsid w:val="DB4F40DB"/>
    <w:rsid w:val="DCF9663E"/>
    <w:rsid w:val="DEAF3824"/>
    <w:rsid w:val="DF37AB12"/>
    <w:rsid w:val="DF7A5468"/>
    <w:rsid w:val="DF7F1F17"/>
    <w:rsid w:val="DFFD1D53"/>
    <w:rsid w:val="DFFF88DF"/>
    <w:rsid w:val="E4EFFF03"/>
    <w:rsid w:val="E55F80D7"/>
    <w:rsid w:val="E77D4D80"/>
    <w:rsid w:val="E7FE9702"/>
    <w:rsid w:val="EAD8EA1D"/>
    <w:rsid w:val="EB3BEA43"/>
    <w:rsid w:val="EDDBBC5F"/>
    <w:rsid w:val="EF6F28EC"/>
    <w:rsid w:val="EF7D0F8D"/>
    <w:rsid w:val="EFEA791E"/>
    <w:rsid w:val="EFFF8D57"/>
    <w:rsid w:val="EFFFA6B0"/>
    <w:rsid w:val="F3E64FCE"/>
    <w:rsid w:val="F5D6E261"/>
    <w:rsid w:val="F6ACD4E1"/>
    <w:rsid w:val="F6FC7334"/>
    <w:rsid w:val="F77EBFE0"/>
    <w:rsid w:val="F7EF25D6"/>
    <w:rsid w:val="F8EE8CBA"/>
    <w:rsid w:val="F9EEB8FE"/>
    <w:rsid w:val="FB7192B9"/>
    <w:rsid w:val="FB75E82E"/>
    <w:rsid w:val="FBBFD008"/>
    <w:rsid w:val="FBDA30A8"/>
    <w:rsid w:val="FBEC0772"/>
    <w:rsid w:val="FCAE1187"/>
    <w:rsid w:val="FD9FCD1A"/>
    <w:rsid w:val="FDB592B6"/>
    <w:rsid w:val="FDD8C790"/>
    <w:rsid w:val="FDDF9C9D"/>
    <w:rsid w:val="FDE3CC96"/>
    <w:rsid w:val="FDF300E9"/>
    <w:rsid w:val="FDF88BFD"/>
    <w:rsid w:val="FDFB00B3"/>
    <w:rsid w:val="FDFBF2E9"/>
    <w:rsid w:val="FE1F3EC9"/>
    <w:rsid w:val="FE6F7981"/>
    <w:rsid w:val="FF3F7638"/>
    <w:rsid w:val="FF573065"/>
    <w:rsid w:val="FFBB4F81"/>
    <w:rsid w:val="FFDF06B0"/>
    <w:rsid w:val="FFE355CB"/>
    <w:rsid w:val="FFEE0ABD"/>
    <w:rsid w:val="FFEF1F64"/>
    <w:rsid w:val="FFFF46C1"/>
    <w:rsid w:val="FFFFA309"/>
    <w:rsid w:val="FFFFBF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kern w:val="0"/>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semiHidden/>
    <w:qFormat/>
    <w:uiPriority w:val="99"/>
    <w:rPr>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 w:type="character" w:customStyle="1" w:styleId="10">
    <w:name w:val="font141"/>
    <w:basedOn w:val="6"/>
    <w:qFormat/>
    <w:uiPriority w:val="0"/>
    <w:rPr>
      <w:rFonts w:hint="eastAsia" w:ascii="方正小标宋简体" w:hAnsi="方正小标宋简体" w:eastAsia="方正小标宋简体" w:cs="方正小标宋简体"/>
      <w:color w:val="000000"/>
      <w:sz w:val="36"/>
      <w:szCs w:val="36"/>
      <w:u w:val="none"/>
    </w:rPr>
  </w:style>
  <w:style w:type="character" w:customStyle="1" w:styleId="11">
    <w:name w:val="font01"/>
    <w:basedOn w:val="6"/>
    <w:qFormat/>
    <w:uiPriority w:val="0"/>
    <w:rPr>
      <w:rFonts w:hint="default" w:ascii="Times New Roman" w:hAnsi="Times New Roman" w:cs="Times New Roman"/>
      <w:color w:val="000000"/>
      <w:sz w:val="36"/>
      <w:szCs w:val="36"/>
      <w:u w:val="none"/>
    </w:rPr>
  </w:style>
  <w:style w:type="character" w:customStyle="1" w:styleId="12">
    <w:name w:val="font51"/>
    <w:basedOn w:val="6"/>
    <w:qFormat/>
    <w:uiPriority w:val="0"/>
    <w:rPr>
      <w:rFonts w:hint="eastAsia" w:ascii="宋体" w:hAnsi="宋体" w:eastAsia="宋体" w:cs="宋体"/>
      <w:b/>
      <w:color w:val="000000"/>
      <w:sz w:val="20"/>
      <w:szCs w:val="20"/>
      <w:u w:val="none"/>
    </w:rPr>
  </w:style>
  <w:style w:type="character" w:customStyle="1" w:styleId="13">
    <w:name w:val="font131"/>
    <w:basedOn w:val="6"/>
    <w:qFormat/>
    <w:uiPriority w:val="0"/>
    <w:rPr>
      <w:rFonts w:hint="eastAsia" w:ascii="宋体" w:hAnsi="宋体" w:eastAsia="宋体" w:cs="宋体"/>
      <w:color w:val="000000"/>
      <w:sz w:val="20"/>
      <w:szCs w:val="20"/>
      <w:u w:val="none"/>
    </w:rPr>
  </w:style>
  <w:style w:type="character" w:customStyle="1" w:styleId="14">
    <w:name w:val="font91"/>
    <w:basedOn w:val="6"/>
    <w:qFormat/>
    <w:uiPriority w:val="0"/>
    <w:rPr>
      <w:rFonts w:hint="default" w:ascii="Times New Roman" w:hAnsi="Times New Roman" w:cs="Times New Roman"/>
      <w:color w:val="000000"/>
      <w:sz w:val="20"/>
      <w:szCs w:val="20"/>
      <w:u w:val="none"/>
    </w:rPr>
  </w:style>
  <w:style w:type="character" w:customStyle="1" w:styleId="15">
    <w:name w:val="font71"/>
    <w:basedOn w:val="6"/>
    <w:qFormat/>
    <w:uiPriority w:val="0"/>
    <w:rPr>
      <w:rFonts w:hint="eastAsia" w:ascii="宋体" w:hAnsi="宋体" w:eastAsia="宋体" w:cs="宋体"/>
      <w:color w:val="FF0000"/>
      <w:sz w:val="20"/>
      <w:szCs w:val="20"/>
      <w:u w:val="none"/>
    </w:rPr>
  </w:style>
  <w:style w:type="character" w:customStyle="1" w:styleId="16">
    <w:name w:val="font112"/>
    <w:basedOn w:val="6"/>
    <w:qFormat/>
    <w:uiPriority w:val="0"/>
    <w:rPr>
      <w:rFonts w:hint="default" w:ascii="Times New Roman" w:hAnsi="Times New Roman" w:cs="Times New Roman"/>
      <w:color w:val="FF0000"/>
      <w:sz w:val="20"/>
      <w:szCs w:val="20"/>
      <w:u w:val="none"/>
    </w:rPr>
  </w:style>
  <w:style w:type="character" w:customStyle="1" w:styleId="17">
    <w:name w:val="font31"/>
    <w:basedOn w:val="6"/>
    <w:qFormat/>
    <w:uiPriority w:val="0"/>
    <w:rPr>
      <w:rFonts w:hint="eastAsia" w:ascii="宋体" w:hAnsi="宋体" w:eastAsia="宋体" w:cs="宋体"/>
      <w:color w:val="000000"/>
      <w:sz w:val="20"/>
      <w:szCs w:val="20"/>
      <w:u w:val="none"/>
    </w:rPr>
  </w:style>
  <w:style w:type="character" w:customStyle="1" w:styleId="18">
    <w:name w:val="font41"/>
    <w:basedOn w:val="6"/>
    <w:qFormat/>
    <w:uiPriority w:val="0"/>
    <w:rPr>
      <w:rFonts w:hint="eastAsia" w:ascii="宋体" w:hAnsi="宋体" w:eastAsia="宋体" w:cs="宋体"/>
      <w:color w:val="00B0F0"/>
      <w:sz w:val="20"/>
      <w:szCs w:val="20"/>
      <w:u w:val="none"/>
    </w:rPr>
  </w:style>
  <w:style w:type="character" w:customStyle="1" w:styleId="19">
    <w:name w:val="font21"/>
    <w:basedOn w:val="6"/>
    <w:qFormat/>
    <w:uiPriority w:val="0"/>
    <w:rPr>
      <w:rFonts w:hint="default" w:ascii="Times New Roman" w:hAnsi="Times New Roman" w:cs="Times New Roman"/>
      <w:color w:val="00B0F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144</Pages>
  <Words>28665</Words>
  <Characters>163391</Characters>
  <Lines>1361</Lines>
  <Paragraphs>383</Paragraphs>
  <TotalTime>2</TotalTime>
  <ScaleCrop>false</ScaleCrop>
  <LinksUpToDate>false</LinksUpToDate>
  <CharactersWithSpaces>191673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2018-04-24T01:17:00Z</dcterms:created>
  <dc:creator>边骏进</dc:creator>
  <cp:lastModifiedBy>greatwall</cp:lastModifiedBy>
  <cp:lastPrinted>2021-06-26T14:37:00Z</cp:lastPrinted>
  <dcterms:modified xsi:type="dcterms:W3CDTF">2021-07-14T10:01:45Z</dcterms:modified>
  <dc:title>浙江省城市管理领域行政处罚裁量基准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AB8A4F9415994A429272B03FDF7910C9</vt:lpwstr>
  </property>
</Properties>
</file>