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cs="宋体"/>
          <w:b/>
          <w:color w:val="000000"/>
          <w:kern w:val="0"/>
          <w:sz w:val="36"/>
          <w:szCs w:val="36"/>
        </w:rPr>
      </w:pPr>
      <w:r>
        <w:rPr>
          <w:rFonts w:hint="eastAsia"/>
          <w:b/>
          <w:sz w:val="36"/>
          <w:szCs w:val="36"/>
        </w:rPr>
        <w:t>关于公开征求《平阳县麻步镇江湾村城中村改造土地和房屋征收补偿实施细则</w:t>
      </w:r>
      <w:r>
        <w:rPr>
          <w:rFonts w:hint="eastAsia"/>
          <w:b/>
          <w:sz w:val="36"/>
          <w:szCs w:val="36"/>
          <w:lang w:eastAsia="zh-CN"/>
        </w:rPr>
        <w:t>（征求意见稿）</w:t>
      </w:r>
      <w:r>
        <w:rPr>
          <w:rFonts w:hint="eastAsia" w:ascii="宋体" w:hAnsi="宋体" w:cs="宋体"/>
          <w:b/>
          <w:color w:val="000000"/>
          <w:kern w:val="0"/>
          <w:sz w:val="36"/>
          <w:szCs w:val="36"/>
        </w:rPr>
        <w:t>》的</w:t>
      </w:r>
      <w:r>
        <w:rPr>
          <w:rFonts w:hint="eastAsia"/>
          <w:b/>
          <w:sz w:val="36"/>
          <w:szCs w:val="36"/>
        </w:rPr>
        <w:t>意见</w:t>
      </w:r>
    </w:p>
    <w:p>
      <w:pPr>
        <w:rPr>
          <w:rFonts w:hint="eastAsia" w:ascii="仿宋_GB2312" w:eastAsia="仿宋_GB2312"/>
          <w:sz w:val="32"/>
          <w:szCs w:val="32"/>
        </w:rPr>
      </w:pPr>
    </w:p>
    <w:p>
      <w:pPr>
        <w:spacing w:line="560" w:lineRule="exact"/>
        <w:jc w:val="lef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hAnsi="宋体" w:eastAsia="仿宋_GB2312"/>
          <w:sz w:val="32"/>
          <w:szCs w:val="32"/>
        </w:rPr>
        <w:t>为加快推进平阳</w:t>
      </w:r>
      <w:r>
        <w:rPr>
          <w:rFonts w:hint="eastAsia" w:ascii="仿宋_GB2312" w:hAnsi="宋体" w:eastAsia="仿宋_GB2312"/>
          <w:sz w:val="32"/>
          <w:szCs w:val="32"/>
          <w:lang w:eastAsia="zh-CN"/>
        </w:rPr>
        <w:t>县</w:t>
      </w:r>
      <w:r>
        <w:rPr>
          <w:rFonts w:hint="eastAsia" w:ascii="仿宋_GB2312" w:hAnsi="宋体" w:eastAsia="仿宋_GB2312"/>
          <w:sz w:val="32"/>
          <w:szCs w:val="32"/>
        </w:rPr>
        <w:t>城市化进程，顺利开展</w:t>
      </w:r>
      <w:r>
        <w:rPr>
          <w:rFonts w:hint="eastAsia" w:ascii="仿宋_GB2312" w:hAnsi="宋体" w:eastAsia="仿宋_GB2312"/>
          <w:sz w:val="32"/>
          <w:szCs w:val="32"/>
          <w:lang w:eastAsia="zh-CN"/>
        </w:rPr>
        <w:t>麻步</w:t>
      </w:r>
      <w:r>
        <w:rPr>
          <w:rFonts w:hint="eastAsia" w:ascii="仿宋_GB2312" w:hAnsi="宋体" w:eastAsia="仿宋_GB2312"/>
          <w:sz w:val="32"/>
          <w:szCs w:val="32"/>
        </w:rPr>
        <w:t>镇城中村改造工作</w:t>
      </w:r>
      <w:r>
        <w:rPr>
          <w:rFonts w:hint="eastAsia" w:ascii="仿宋_GB2312" w:eastAsia="仿宋_GB2312"/>
          <w:sz w:val="32"/>
          <w:szCs w:val="32"/>
        </w:rPr>
        <w:t>，现公开征求《</w:t>
      </w:r>
      <w:r>
        <w:rPr>
          <w:rFonts w:hint="eastAsia" w:ascii="仿宋_GB2312" w:hAnsi="仿宋" w:eastAsia="仿宋_GB2312" w:cs="仿宋_GB2312"/>
          <w:spacing w:val="8"/>
          <w:sz w:val="32"/>
          <w:szCs w:val="32"/>
        </w:rPr>
        <w:t>平阳县麻步镇江湾村城中村改造土地和房屋征收补偿实施细则</w:t>
      </w:r>
      <w:r>
        <w:rPr>
          <w:rFonts w:hint="eastAsia" w:ascii="仿宋_GB2312" w:hAnsi="宋体" w:eastAsia="仿宋_GB2312"/>
          <w:spacing w:val="8"/>
          <w:sz w:val="32"/>
          <w:szCs w:val="32"/>
          <w:lang w:eastAsia="zh-CN"/>
        </w:rPr>
        <w:t>（征求意见稿）</w:t>
      </w:r>
      <w:r>
        <w:rPr>
          <w:rFonts w:hint="eastAsia" w:ascii="仿宋_GB2312" w:eastAsia="仿宋_GB2312"/>
          <w:sz w:val="32"/>
          <w:szCs w:val="32"/>
        </w:rPr>
        <w:t>》的意见，如有不同意见，请在30日内以书面形式反馈至平阳县人民</w:t>
      </w:r>
      <w:bookmarkStart w:id="0" w:name="_GoBack"/>
      <w:bookmarkEnd w:id="0"/>
      <w:r>
        <w:rPr>
          <w:rFonts w:hint="eastAsia" w:ascii="仿宋_GB2312" w:eastAsia="仿宋_GB2312"/>
          <w:sz w:val="32"/>
          <w:szCs w:val="32"/>
        </w:rPr>
        <w:t>政府房屋征收管理办公室。（传真：0577-63889036）</w:t>
      </w:r>
    </w:p>
    <w:p>
      <w:pPr>
        <w:spacing w:line="560" w:lineRule="exact"/>
        <w:ind w:firstLine="646"/>
        <w:rPr>
          <w:rFonts w:hint="eastAsia" w:ascii="仿宋_GB2312" w:eastAsia="仿宋_GB2312"/>
          <w:sz w:val="32"/>
          <w:szCs w:val="32"/>
        </w:rPr>
      </w:pPr>
    </w:p>
    <w:p>
      <w:pPr>
        <w:spacing w:line="560" w:lineRule="exact"/>
        <w:ind w:firstLine="646"/>
        <w:rPr>
          <w:rFonts w:hint="eastAsia" w:ascii="仿宋_GB2312" w:eastAsia="仿宋_GB2312"/>
          <w:sz w:val="32"/>
          <w:szCs w:val="32"/>
        </w:rPr>
      </w:pPr>
    </w:p>
    <w:p>
      <w:pPr>
        <w:spacing w:line="560" w:lineRule="exact"/>
        <w:ind w:firstLine="646"/>
        <w:rPr>
          <w:rFonts w:hint="eastAsia" w:ascii="仿宋_GB2312" w:eastAsia="仿宋_GB2312"/>
          <w:sz w:val="32"/>
          <w:szCs w:val="32"/>
        </w:rPr>
      </w:pPr>
    </w:p>
    <w:p>
      <w:pPr>
        <w:spacing w:line="560" w:lineRule="exact"/>
        <w:ind w:firstLine="3040" w:firstLineChars="950"/>
        <w:rPr>
          <w:rFonts w:hint="eastAsia" w:ascii="仿宋_GB2312" w:eastAsia="仿宋_GB2312"/>
          <w:sz w:val="32"/>
          <w:szCs w:val="32"/>
        </w:rPr>
      </w:pPr>
      <w:r>
        <w:rPr>
          <w:rFonts w:hint="eastAsia" w:ascii="仿宋_GB2312" w:eastAsia="仿宋_GB2312"/>
          <w:sz w:val="32"/>
          <w:szCs w:val="32"/>
        </w:rPr>
        <w:t>平阳县人民政府房屋征收管理办公室</w:t>
      </w:r>
    </w:p>
    <w:p>
      <w:pPr>
        <w:spacing w:line="560" w:lineRule="exact"/>
        <w:ind w:firstLine="646"/>
        <w:rPr>
          <w:rFonts w:hint="eastAsia" w:ascii="仿宋_GB2312" w:eastAsia="仿宋_GB2312"/>
          <w:sz w:val="32"/>
          <w:szCs w:val="32"/>
        </w:rPr>
      </w:pPr>
      <w:r>
        <w:rPr>
          <w:rFonts w:hint="eastAsia" w:ascii="仿宋_GB2312" w:eastAsia="仿宋_GB2312"/>
          <w:sz w:val="32"/>
          <w:szCs w:val="32"/>
        </w:rPr>
        <w:t xml:space="preserve">                       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w:t>
      </w:r>
    </w:p>
    <w:p/>
    <w:p/>
    <w:p/>
    <w:p/>
    <w:p/>
    <w:p/>
    <w:p/>
    <w:p/>
    <w:p/>
    <w:p/>
    <w:p/>
    <w:p/>
    <w:p/>
    <w:p/>
    <w:p/>
    <w:p/>
    <w:p/>
    <w:p/>
    <w:p/>
    <w:p/>
    <w:p/>
    <w:p>
      <w:pPr>
        <w:spacing w:line="58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平阳县麻步镇江湾村城中村改造土地和房屋征收补偿实施细则（</w:t>
      </w:r>
      <w:r>
        <w:rPr>
          <w:rFonts w:hint="eastAsia" w:ascii="方正小标宋简体" w:hAnsi="宋体" w:eastAsia="方正小标宋简体"/>
          <w:sz w:val="44"/>
          <w:szCs w:val="44"/>
          <w:lang w:eastAsia="zh-CN"/>
        </w:rPr>
        <w:t>征求意见</w:t>
      </w:r>
      <w:r>
        <w:rPr>
          <w:rFonts w:hint="eastAsia" w:ascii="方正小标宋简体" w:hAnsi="宋体" w:eastAsia="方正小标宋简体"/>
          <w:sz w:val="44"/>
          <w:szCs w:val="44"/>
        </w:rPr>
        <w:t>稿）</w:t>
      </w:r>
    </w:p>
    <w:p>
      <w:pPr>
        <w:spacing w:line="580" w:lineRule="exact"/>
        <w:jc w:val="center"/>
        <w:rPr>
          <w:rFonts w:ascii="方正小标宋简体" w:hAnsi="宋体" w:eastAsia="方正小标宋简体"/>
          <w:sz w:val="44"/>
          <w:szCs w:val="4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为推进</w:t>
      </w:r>
      <w:r>
        <w:rPr>
          <w:rFonts w:hint="eastAsia" w:ascii="仿宋_GB2312" w:eastAsia="仿宋_GB2312"/>
          <w:bCs/>
          <w:sz w:val="32"/>
          <w:szCs w:val="32"/>
        </w:rPr>
        <w:t>平阳县麻步镇江湾村</w:t>
      </w:r>
      <w:r>
        <w:rPr>
          <w:rFonts w:hint="eastAsia" w:ascii="仿宋_GB2312" w:eastAsia="仿宋_GB2312"/>
          <w:sz w:val="32"/>
          <w:szCs w:val="32"/>
        </w:rPr>
        <w:t>城中村改造工作顺利实施，保障被征收人的合法权益，根据土地及房屋征收补偿相关法律法规和《平阳县征收农民集体所有土地管理办法》（平政发〔2014〕208号）、《平阳县重点工程建设房屋征收城中村改造农房集聚建设补偿暂行办法》（平委办〔2012〕179号）等文件，结合实际，特制定本实施细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一、本实施细则适用于平阳县麻步镇江湾村城中村改造土地和房屋征收补偿（具体以规划红线为准）。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二、麻步镇人民政府受平阳县人民政府委托，作为征收实施单位，统一组织实施平阳县麻步镇江湾村城中村改造土地和房屋征收补偿工作。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本细则所称的被征收人指平阳县麻步镇江湾村城中村改造范围内的集体土地所有权人、土地使用权人和房屋所有权人。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三、集体土地征收和青苗补偿</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集体土地征收和青苗补偿按《平阳县征收农民集体所有土地管理办法》（平政发〔2014〕208号）规定执行。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四、房屋征收补偿的一般规定</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（一）</w:t>
      </w:r>
      <w:r>
        <w:rPr>
          <w:rFonts w:hint="eastAsia" w:ascii="仿宋_GB2312" w:hAnsi="宋体" w:eastAsia="仿宋_GB2312"/>
          <w:sz w:val="32"/>
          <w:szCs w:val="32"/>
        </w:rPr>
        <w:t>被征收房屋已取得《房屋所有权证》《土地使用权证》或</w:t>
      </w:r>
      <w:r>
        <w:rPr>
          <w:rFonts w:hint="eastAsia" w:ascii="仿宋" w:hAnsi="仿宋" w:eastAsia="仿宋" w:cs="仿宋_GB2312"/>
          <w:sz w:val="32"/>
          <w:szCs w:val="32"/>
        </w:rPr>
        <w:t>《不动产权证》以及</w:t>
      </w:r>
      <w:r>
        <w:rPr>
          <w:rFonts w:hint="eastAsia" w:ascii="仿宋_GB2312" w:hAnsi="宋体" w:eastAsia="仿宋_GB2312"/>
          <w:sz w:val="32"/>
          <w:szCs w:val="32"/>
        </w:rPr>
        <w:t>经认定后可参照合法的，应当按照本实施细则的规定实施征收补偿。</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宋体" w:eastAsia="仿宋_GB2312"/>
          <w:sz w:val="32"/>
          <w:szCs w:val="32"/>
        </w:rPr>
        <w:t>（二）</w:t>
      </w:r>
      <w:r>
        <w:rPr>
          <w:rFonts w:hint="eastAsia" w:ascii="仿宋_GB2312" w:eastAsia="仿宋_GB2312"/>
          <w:sz w:val="32"/>
          <w:szCs w:val="32"/>
        </w:rPr>
        <w:t>被征收人可以选择货币补偿，也可以选择产权调换。</w:t>
      </w:r>
      <w:r>
        <w:rPr>
          <w:rFonts w:hint="eastAsia" w:ascii="仿宋_GB2312" w:hAnsi="仿宋_GB2312" w:eastAsia="仿宋_GB2312" w:cs="仿宋_GB2312"/>
          <w:kern w:val="0"/>
          <w:sz w:val="32"/>
          <w:szCs w:val="32"/>
        </w:rPr>
        <w:t>被征收人不论选择何种补偿方式，必须在签订协议后，按照征收实施单位确定的搬迁腾空期限，将被征收房屋腾空并移交征收实施单位。</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ascii="仿宋" w:hAnsi="仿宋" w:eastAsia="仿宋" w:cs="仿宋_GB2312"/>
          <w:sz w:val="32"/>
          <w:szCs w:val="32"/>
        </w:rPr>
        <w:t>被征收房屋的建筑面积和建筑占地面积以《房屋所有权证》或《不动产权证》记载为准。被征收房屋的土地使用权面积以《土地使用权证》或《不动产权证》记载为准。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五、未登记房屋的认定及处置</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kern w:val="0"/>
          <w:sz w:val="32"/>
          <w:szCs w:val="32"/>
        </w:rPr>
        <w:t>（一）</w:t>
      </w:r>
      <w:r>
        <w:rPr>
          <w:rFonts w:hint="eastAsia" w:ascii="仿宋_GB2312" w:eastAsia="仿宋_GB2312"/>
          <w:sz w:val="32"/>
          <w:szCs w:val="32"/>
        </w:rPr>
        <w:t>有下列情形之一，因历史原因审批手续不完整而未登记的房屋，经认定后可参照合法房屋，予以补偿安置：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1.1987年1月1日《中华人民共和国土地管理法》实施前已经建成的房屋。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2.1987年1月1日至1998年12月31日之间取得乡镇以上人民政府或县级以上人民政府土地、规划、建设部门批准文件的农村村民住宅房屋。</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（二）未登记的下列被征收房屋，由麻步镇人民政府组织住建、国土资源部门按程序认定并公示后，予以确认是否给予补偿安置。</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征收1987年1月1日至1998年12月31日之间建造但未办理合法建设手续的违法建筑（具体以1998航拍图为准），按程序认定并公示后，在规定的期限内签订房屋征收补偿协议并如期腾空交房的，可以参照合法房屋予以补偿安置；未在规定期限内签订协议的，依法无条件拆除。</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征收1999年1月1日至2006年12月31日之间建造但未办理合法建设手续的违法建筑（具体以2006航拍图为准），不予补偿安置，违法建筑如在规定期限内自行拆除的，按照房屋重置成新标准给予一定的清障费，如在规定期限内未自行拆除的，依法无条件拆除。</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3.2007年1月1日后建造但未办理合法建设手续的违法建筑，一律依法无条件拆除。</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（三）征收1999年1月1日至2006年12月31日之间土地、规划、建设审批手续不齐全的农村</w:t>
      </w:r>
      <w:r>
        <w:rPr>
          <w:rFonts w:hint="eastAsia" w:ascii="仿宋_GB2312" w:eastAsia="仿宋_GB2312"/>
          <w:sz w:val="32"/>
          <w:szCs w:val="32"/>
        </w:rPr>
        <w:t>村民</w:t>
      </w:r>
      <w:r>
        <w:rPr>
          <w:rFonts w:hint="eastAsia" w:ascii="仿宋_GB2312" w:hAnsi="仿宋_GB2312" w:eastAsia="仿宋_GB2312" w:cs="仿宋_GB2312"/>
          <w:kern w:val="0"/>
          <w:sz w:val="32"/>
          <w:szCs w:val="32"/>
        </w:rPr>
        <w:t>住宅房屋，在规定期限内签订房屋征收补偿协议并腾空拆除的，可以参照合法房屋予以补偿安置。未在规定期限内签订协议并腾空拆除的，依法无条件拆除。</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六、被征收房屋的货币补偿</w:t>
      </w:r>
    </w:p>
    <w:p>
      <w:pPr>
        <w:tabs>
          <w:tab w:val="left" w:pos="360"/>
        </w:tabs>
        <w:spacing w:line="520" w:lineRule="exact"/>
        <w:ind w:firstLine="645"/>
        <w:rPr>
          <w:rFonts w:ascii="仿宋_GB2312" w:eastAsia="仿宋_GB2312"/>
          <w:sz w:val="32"/>
          <w:szCs w:val="32"/>
        </w:rPr>
      </w:pPr>
      <w:r>
        <w:rPr>
          <w:rFonts w:hint="eastAsia" w:ascii="仿宋_GB2312" w:eastAsia="仿宋_GB2312"/>
          <w:sz w:val="32"/>
          <w:szCs w:val="32"/>
        </w:rPr>
        <w:t>（一）被征收人选择货币补偿的，按照被征收房屋的市场评估价确定货币补偿金额。被征收房屋的市场评估价由具有法定资质的房地产价格评估机构依法评估确定。</w:t>
      </w:r>
    </w:p>
    <w:p>
      <w:pPr>
        <w:tabs>
          <w:tab w:val="left" w:pos="360"/>
        </w:tabs>
        <w:spacing w:line="520" w:lineRule="exact"/>
        <w:ind w:firstLine="645"/>
        <w:rPr>
          <w:rFonts w:ascii="仿宋_GB2312" w:eastAsia="仿宋_GB2312"/>
          <w:sz w:val="32"/>
          <w:szCs w:val="32"/>
        </w:rPr>
      </w:pPr>
      <w:r>
        <w:rPr>
          <w:rFonts w:hint="eastAsia" w:ascii="仿宋_GB2312" w:eastAsia="仿宋_GB2312"/>
          <w:sz w:val="32"/>
          <w:szCs w:val="32"/>
        </w:rPr>
        <w:t>（二）被征收人在规定期限内签订货币补偿协议，腾空房屋并移交给征收实施单位的，经征收实施单位验收合格后15个工作日内一次性付清货币补偿费。</w:t>
      </w:r>
    </w:p>
    <w:p>
      <w:pPr>
        <w:tabs>
          <w:tab w:val="left" w:pos="360"/>
        </w:tabs>
        <w:spacing w:line="520" w:lineRule="exact"/>
        <w:ind w:firstLine="645"/>
        <w:rPr>
          <w:rFonts w:ascii="仿宋_GB2312" w:eastAsia="仿宋_GB2312"/>
          <w:sz w:val="32"/>
          <w:szCs w:val="32"/>
        </w:rPr>
      </w:pPr>
      <w:r>
        <w:rPr>
          <w:rFonts w:hint="eastAsia" w:ascii="仿宋_GB2312" w:eastAsia="仿宋_GB2312"/>
          <w:sz w:val="32"/>
          <w:szCs w:val="32"/>
        </w:rPr>
        <w:t>（三）选择货币补偿的被征收人按规定领取货币补偿费后，不再享有产权调换权利。</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sz w:val="32"/>
          <w:szCs w:val="32"/>
        </w:rPr>
        <w:t>七、被征收房屋的产权调换</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（一）被征收人选择产权调换的，</w:t>
      </w:r>
      <w:r>
        <w:rPr>
          <w:rFonts w:hint="eastAsia" w:ascii="仿宋_GB2312" w:eastAsia="仿宋_GB2312"/>
          <w:sz w:val="32"/>
          <w:szCs w:val="32"/>
        </w:rPr>
        <w:t>被征收房屋根据合法或可参照合法建筑面积按房屋重置价、成新率</w:t>
      </w:r>
      <w:r>
        <w:rPr>
          <w:rFonts w:hint="eastAsia" w:ascii="仿宋_GB2312" w:hAnsi="宋体" w:eastAsia="仿宋_GB2312"/>
          <w:sz w:val="32"/>
          <w:szCs w:val="32"/>
        </w:rPr>
        <w:t>、室内装饰，经评估后给予补偿。</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（二）应安置面积按被征收房屋合法或可参照合法建筑占地面积的4倍给予安排新建套房建筑面积，</w:t>
      </w:r>
      <w:r>
        <w:rPr>
          <w:rFonts w:hint="eastAsia" w:ascii="仿宋_GB2312" w:hAnsi="仿宋_GB2312" w:eastAsia="仿宋_GB2312" w:cs="仿宋_GB2312"/>
          <w:bCs/>
          <w:kern w:val="0"/>
          <w:sz w:val="32"/>
          <w:szCs w:val="32"/>
        </w:rPr>
        <w:t>或者按其合法或可参照合法建筑面积计算应安置面积。</w:t>
      </w:r>
      <w:r>
        <w:rPr>
          <w:rFonts w:hint="eastAsia" w:ascii="仿宋_GB2312" w:hAnsi="宋体" w:eastAsia="仿宋_GB2312"/>
          <w:sz w:val="32"/>
          <w:szCs w:val="32"/>
        </w:rPr>
        <w:t>应安置面积价格按照安置价计算</w:t>
      </w:r>
      <w:r>
        <w:rPr>
          <w:rFonts w:hint="eastAsia" w:ascii="仿宋_GB2312" w:eastAsia="仿宋_GB2312"/>
          <w:sz w:val="32"/>
          <w:szCs w:val="32"/>
        </w:rPr>
        <w:t>（见附件2）。</w:t>
      </w:r>
    </w:p>
    <w:p>
      <w:pPr>
        <w:spacing w:line="560" w:lineRule="exact"/>
        <w:ind w:firstLine="640" w:firstLineChars="200"/>
        <w:rPr>
          <w:rFonts w:hint="eastAsia" w:ascii="仿宋_GB2312" w:hAnsi="MT Extra" w:eastAsia="仿宋_GB2312"/>
          <w:color w:val="000000"/>
          <w:sz w:val="32"/>
          <w:szCs w:val="32"/>
        </w:rPr>
      </w:pPr>
      <w:r>
        <w:rPr>
          <w:rFonts w:hint="eastAsia" w:ascii="仿宋_GB2312" w:eastAsia="仿宋_GB2312"/>
          <w:sz w:val="32"/>
          <w:szCs w:val="32"/>
        </w:rPr>
        <w:t>（三）安置房之间（按就近的面积进行套型选择后）多余的安置建筑面积经项目所在村委会审核、报征收实施单位同意后，</w:t>
      </w:r>
      <w:r>
        <w:rPr>
          <w:rFonts w:hint="eastAsia" w:ascii="仿宋_GB2312" w:eastAsia="仿宋_GB2312"/>
          <w:color w:val="000000"/>
          <w:sz w:val="32"/>
          <w:szCs w:val="32"/>
        </w:rPr>
        <w:t>可相互调剂整合成套。</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因安置房套型设计原因需增购面积的，增购面积原则上不得大于20平方米。增购面积小于等于10㎡的，按照工程成本价结算；增购面积大于10㎡小于等于20㎡的，按照房屋市场基准价的60%予以结算。（见附件2）。</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（五）被搬迁人自愿减少安置面积的，减少的安置面积可由搬迁实施单位予以回购，回购价按1000元/㎡价格计算，回购面积不得超过应安置面积的二分之一。</w:t>
      </w:r>
    </w:p>
    <w:p>
      <w:pPr>
        <w:spacing w:line="560" w:lineRule="exact"/>
        <w:ind w:firstLine="960" w:firstLineChars="300"/>
        <w:rPr>
          <w:rFonts w:hint="eastAsia" w:ascii="仿宋_GB2312" w:hAnsi="MT Extra" w:eastAsia="仿宋_GB2312" w:cs="MT Extra"/>
          <w:sz w:val="32"/>
          <w:szCs w:val="32"/>
        </w:rPr>
      </w:pPr>
      <w:r>
        <w:rPr>
          <w:rFonts w:hint="eastAsia" w:ascii="仿宋_GB2312" w:hAnsi="宋体" w:eastAsia="仿宋_GB2312"/>
          <w:sz w:val="32"/>
          <w:szCs w:val="32"/>
        </w:rPr>
        <w:t>八、</w:t>
      </w:r>
      <w:r>
        <w:rPr>
          <w:rFonts w:hint="eastAsia" w:ascii="仿宋_GB2312" w:eastAsia="仿宋_GB2312"/>
          <w:sz w:val="32"/>
          <w:szCs w:val="32"/>
        </w:rPr>
        <w:t>临时安置补助费和搬迁费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（一）临时安置补助费按被征收房屋合法或可参照合法建筑面积每个月</w:t>
      </w:r>
      <w:r>
        <w:rPr>
          <w:rFonts w:hint="eastAsia" w:ascii="仿宋_GB2312" w:eastAsia="仿宋_GB2312"/>
          <w:sz w:val="32"/>
          <w:szCs w:val="32"/>
        </w:rPr>
        <w:t>8</w:t>
      </w:r>
      <w:r>
        <w:rPr>
          <w:rFonts w:hint="eastAsia" w:ascii="仿宋_GB2312" w:hAnsi="宋体" w:eastAsia="仿宋_GB2312"/>
          <w:sz w:val="32"/>
          <w:szCs w:val="32"/>
        </w:rPr>
        <w:t>元／平方米计算。</w:t>
      </w:r>
      <w:r>
        <w:rPr>
          <w:rFonts w:hint="eastAsia" w:ascii="仿宋_GB2312" w:eastAsia="仿宋_GB2312"/>
          <w:sz w:val="32"/>
          <w:szCs w:val="32"/>
        </w:rPr>
        <w:t>被征收人选择产权调换期房安置的，</w:t>
      </w:r>
      <w:r>
        <w:rPr>
          <w:rFonts w:hint="eastAsia" w:ascii="仿宋_GB2312" w:hAnsi="宋体" w:eastAsia="仿宋_GB2312"/>
          <w:sz w:val="32"/>
          <w:szCs w:val="32"/>
        </w:rPr>
        <w:t>建设多层、小高层安置房的，过渡期按24个月计算；建设高层安置房的，过渡期按36个月计算；逾期交房的，逾期期间双倍支付临时安置补助费（因不可抗力因素造成逾期的，过渡期顺延）。</w:t>
      </w:r>
      <w:r>
        <w:rPr>
          <w:rFonts w:hint="eastAsia" w:ascii="仿宋_GB2312" w:eastAsia="仿宋_GB2312"/>
          <w:sz w:val="32"/>
          <w:szCs w:val="32"/>
        </w:rPr>
        <w:t>被征收人选择货币补偿，过渡期按4个月计算</w:t>
      </w:r>
      <w:r>
        <w:rPr>
          <w:rFonts w:hint="eastAsia" w:ascii="仿宋_GB2312" w:hAnsi="宋体"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（二）</w:t>
      </w:r>
      <w:r>
        <w:rPr>
          <w:rFonts w:hint="eastAsia" w:ascii="仿宋_GB2312" w:hAnsi="宋体" w:eastAsia="仿宋_GB2312"/>
          <w:sz w:val="32"/>
          <w:szCs w:val="32"/>
        </w:rPr>
        <w:t>搬迁费补助标准为被征收房屋合法或可参照合法建筑面积5元/平方米，不足600元的按600元计算。选择产权调换期房安置的，搬迁费计算两次；选择货币</w:t>
      </w:r>
      <w:r>
        <w:rPr>
          <w:rFonts w:hint="eastAsia" w:ascii="仿宋_GB2312" w:eastAsia="仿宋_GB2312"/>
          <w:sz w:val="32"/>
          <w:szCs w:val="32"/>
        </w:rPr>
        <w:t>补偿</w:t>
      </w:r>
      <w:r>
        <w:rPr>
          <w:rFonts w:hint="eastAsia" w:ascii="仿宋_GB2312" w:hAnsi="宋体" w:eastAsia="仿宋_GB2312"/>
          <w:sz w:val="32"/>
          <w:szCs w:val="32"/>
        </w:rPr>
        <w:t>的，搬迁费计算一次。</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九、被征收房屋的价值评估</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（一）征收实施单位和被征收人协商确定具有法定资质的专业房屋评估机构，作为房屋征收补偿的评估单位，依法实施被征收房屋的价值评估。</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（二）房屋评估机构开展评估工作时应结合室内装饰、水电配套和附属物进行综合评估，评估机构评定的结果作为被征收房屋补偿的依据。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评估机构要以户为单位出具评估报告,评估结果要在房屋征收范围内进行公示。被征收人对评定的被征收房屋价值有异议的，可以向房屋评估机构申请复核评估。</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（三）</w:t>
      </w:r>
      <w:r>
        <w:rPr>
          <w:rFonts w:hint="eastAsia" w:ascii="仿宋_GB2312" w:hAnsi="仿宋_GB2312" w:eastAsia="仿宋_GB2312" w:cs="仿宋_GB2312"/>
          <w:sz w:val="32"/>
          <w:szCs w:val="32"/>
        </w:rPr>
        <w:t>被征收人应当协助注册房地产估价师对被征收房屋进行实地查勘，提供或者协助搜集被征收房屋价值评估所必需的情况和资料。</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十、房屋征收补偿协议的签订</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（一）被征收人应在征收实施单位规定时间内签订房屋征收补偿协议，同时移交房屋、土地权属证件、不动产权证及相关资料，由征收实施单位统一报有关部门注销。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hAnsi="宋体" w:eastAsia="仿宋_GB2312"/>
          <w:color w:val="000000"/>
          <w:sz w:val="32"/>
          <w:szCs w:val="32"/>
        </w:rPr>
        <w:t>征收</w:t>
      </w:r>
      <w:r>
        <w:rPr>
          <w:rFonts w:hint="eastAsia" w:ascii="仿宋_GB2312" w:eastAsia="仿宋_GB2312"/>
          <w:sz w:val="32"/>
          <w:szCs w:val="32"/>
        </w:rPr>
        <w:t>设有抵押权或租赁关系的房屋，被征收人在</w:t>
      </w:r>
      <w:r>
        <w:rPr>
          <w:rFonts w:hint="eastAsia" w:ascii="仿宋_GB2312" w:hAnsi="宋体" w:eastAsia="仿宋_GB2312"/>
          <w:color w:val="000000"/>
          <w:sz w:val="32"/>
          <w:szCs w:val="32"/>
        </w:rPr>
        <w:t>征收</w:t>
      </w:r>
      <w:r>
        <w:rPr>
          <w:rFonts w:hint="eastAsia" w:ascii="仿宋_GB2312" w:eastAsia="仿宋_GB2312"/>
          <w:sz w:val="32"/>
          <w:szCs w:val="32"/>
        </w:rPr>
        <w:t>期限内自行处理抵押权或解除租赁关系后，方可签订</w:t>
      </w:r>
      <w:r>
        <w:rPr>
          <w:rFonts w:hint="eastAsia" w:ascii="仿宋_GB2312" w:hAnsi="宋体" w:eastAsia="仿宋_GB2312"/>
          <w:color w:val="000000"/>
          <w:sz w:val="32"/>
          <w:szCs w:val="32"/>
        </w:rPr>
        <w:t>征收</w:t>
      </w:r>
      <w:r>
        <w:rPr>
          <w:rFonts w:hint="eastAsia" w:ascii="仿宋_GB2312" w:eastAsia="仿宋_GB2312"/>
          <w:sz w:val="32"/>
          <w:szCs w:val="32"/>
        </w:rPr>
        <w:t>补偿安置协议。</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（三）征收补偿协议签订后，被征收人应在征收实施单位规定时间内腾空房屋并移交给征收实施单位。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（四）被</w:t>
      </w:r>
      <w:r>
        <w:rPr>
          <w:rFonts w:hint="eastAsia" w:ascii="仿宋_GB2312" w:hAnsi="宋体" w:eastAsia="仿宋_GB2312"/>
          <w:color w:val="000000"/>
          <w:sz w:val="32"/>
          <w:szCs w:val="32"/>
        </w:rPr>
        <w:t>征收</w:t>
      </w:r>
      <w:r>
        <w:rPr>
          <w:rFonts w:hint="eastAsia" w:ascii="仿宋_GB2312" w:eastAsia="仿宋_GB2312"/>
          <w:sz w:val="32"/>
          <w:szCs w:val="32"/>
        </w:rPr>
        <w:t>人不论选择何种征收补偿方式，被</w:t>
      </w:r>
      <w:r>
        <w:rPr>
          <w:rFonts w:hint="eastAsia" w:ascii="仿宋_GB2312" w:hAnsi="宋体" w:eastAsia="仿宋_GB2312"/>
          <w:color w:val="000000"/>
          <w:sz w:val="32"/>
          <w:szCs w:val="32"/>
        </w:rPr>
        <w:t>征收</w:t>
      </w:r>
      <w:r>
        <w:rPr>
          <w:rFonts w:hint="eastAsia" w:ascii="仿宋_GB2312" w:eastAsia="仿宋_GB2312"/>
          <w:sz w:val="32"/>
          <w:szCs w:val="32"/>
        </w:rPr>
        <w:t>房屋腾空移交</w:t>
      </w:r>
      <w:r>
        <w:rPr>
          <w:rFonts w:hint="eastAsia" w:ascii="仿宋_GB2312" w:hAnsi="宋体" w:eastAsia="仿宋_GB2312"/>
          <w:color w:val="000000"/>
          <w:sz w:val="32"/>
          <w:szCs w:val="32"/>
        </w:rPr>
        <w:t>征收</w:t>
      </w:r>
      <w:r>
        <w:rPr>
          <w:rFonts w:hint="eastAsia" w:ascii="仿宋_GB2312" w:eastAsia="仿宋_GB2312"/>
          <w:sz w:val="32"/>
          <w:szCs w:val="32"/>
        </w:rPr>
        <w:t>实施单位后，其房屋以及附属物、构筑物、已作补偿的室内装饰物品等的处分权、拆除责任均属于</w:t>
      </w:r>
      <w:r>
        <w:rPr>
          <w:rFonts w:hint="eastAsia" w:ascii="仿宋_GB2312" w:hAnsi="宋体" w:eastAsia="仿宋_GB2312"/>
          <w:color w:val="000000"/>
          <w:sz w:val="32"/>
          <w:szCs w:val="32"/>
        </w:rPr>
        <w:t>征收实施单位</w:t>
      </w:r>
      <w:r>
        <w:rPr>
          <w:rFonts w:hint="eastAsia" w:ascii="仿宋_GB2312" w:eastAsia="仿宋_GB2312"/>
          <w:sz w:val="32"/>
          <w:szCs w:val="32"/>
        </w:rPr>
        <w:t>。</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十一、安置房建设</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选择产权调换的，统一就近安置。安置地在麻步镇江湾村地块。安置房均为多层住宅，安置地块的房屋平面布置、层数、建筑密度和容积率均以规划部门审定的为准。安置房用地性质为国有划拨，建设方式为统规自建。</w:t>
      </w:r>
    </w:p>
    <w:p>
      <w:pPr>
        <w:adjustRightInd w:val="0"/>
        <w:snapToGrid w:val="0"/>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（二）水、电、讯、视等配套管线设施由征收实施单位安装至安置房户外，供被征收人自行报装。</w:t>
      </w:r>
    </w:p>
    <w:p>
      <w:pPr>
        <w:adjustRightInd w:val="0"/>
        <w:snapToGrid w:val="0"/>
        <w:spacing w:line="60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（三）产权调换安置套房定位按照公平、公正、公开的原则统一由实施单位组织落实。</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十二、无房户和住房困难户的处置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本次</w:t>
      </w:r>
      <w:r>
        <w:rPr>
          <w:rFonts w:hint="eastAsia" w:ascii="仿宋_GB2312" w:eastAsia="仿宋_GB2312"/>
          <w:sz w:val="32"/>
          <w:szCs w:val="32"/>
        </w:rPr>
        <w:t>征收范围内的本村</w:t>
      </w:r>
      <w:r>
        <w:rPr>
          <w:rFonts w:hint="eastAsia" w:ascii="仿宋_GB2312" w:hAnsi="宋体" w:eastAsia="仿宋_GB2312"/>
          <w:sz w:val="32"/>
          <w:szCs w:val="32"/>
        </w:rPr>
        <w:t>户籍无房户和住房困难户，在房源许可的前提下，由本人提出申请，经项目所在村委会审核并进行公示，报征收实施单位同意后，按照人均住房面积25平方米认购安置面积，</w:t>
      </w:r>
      <w:r>
        <w:rPr>
          <w:rFonts w:hint="eastAsia" w:ascii="仿宋_GB2312" w:hAnsi="宋体" w:eastAsia="仿宋_GB2312"/>
          <w:color w:val="000000"/>
          <w:kern w:val="0"/>
          <w:sz w:val="32"/>
          <w:szCs w:val="32"/>
        </w:rPr>
        <w:t>但是每户认购安置面积最多不超过120平方米。</w:t>
      </w:r>
      <w:r>
        <w:rPr>
          <w:rFonts w:hint="eastAsia" w:ascii="仿宋_GB2312" w:hAnsi="宋体" w:eastAsia="仿宋_GB2312"/>
          <w:sz w:val="32"/>
          <w:szCs w:val="32"/>
        </w:rPr>
        <w:t>安置面积按照就近的套型面积进行认购，</w:t>
      </w:r>
      <w:r>
        <w:rPr>
          <w:rFonts w:hint="eastAsia" w:ascii="仿宋_GB2312" w:hAnsi="宋体" w:eastAsia="仿宋_GB2312"/>
          <w:color w:val="000000"/>
          <w:kern w:val="0"/>
          <w:sz w:val="32"/>
          <w:szCs w:val="32"/>
        </w:rPr>
        <w:t>60平方米以内的安置面积按照安置价计算，超出60平方米的安置面积按照市场基准价得80%计算。</w:t>
      </w:r>
      <w:r>
        <w:rPr>
          <w:rFonts w:hint="eastAsia" w:ascii="仿宋_GB2312" w:hAnsi="宋体" w:eastAsia="仿宋_GB2312"/>
          <w:color w:val="000000"/>
          <w:sz w:val="32"/>
          <w:szCs w:val="32"/>
        </w:rPr>
        <w:t>无房户和住房困难户认购安置面积应在被征收人安置</w:t>
      </w:r>
      <w:r>
        <w:rPr>
          <w:rFonts w:hint="eastAsia" w:ascii="仿宋_GB2312" w:hAnsi="宋体" w:eastAsia="仿宋_GB2312"/>
          <w:sz w:val="32"/>
          <w:szCs w:val="32"/>
        </w:rPr>
        <w:t>完成后指定认购。本次</w:t>
      </w:r>
      <w:r>
        <w:rPr>
          <w:rFonts w:hint="eastAsia" w:ascii="仿宋_GB2312" w:eastAsia="仿宋_GB2312"/>
          <w:sz w:val="32"/>
          <w:szCs w:val="32"/>
        </w:rPr>
        <w:t>征收范围内的本村</w:t>
      </w:r>
      <w:r>
        <w:rPr>
          <w:rFonts w:hint="eastAsia" w:ascii="仿宋_GB2312" w:hAnsi="宋体" w:eastAsia="仿宋_GB2312"/>
          <w:sz w:val="32"/>
          <w:szCs w:val="32"/>
        </w:rPr>
        <w:t>户籍无房户和住房困难户的安置政策按平政办〔2013〕126号文件执行。</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十三、政策处理过程中，征收实施单位要坚持公开、公平、公正原则，主动接受监督。</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十四、本实施细则由麻步镇人民政府负责解释。</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十五、本实施细则自发文之日起实施。</w:t>
      </w:r>
    </w:p>
    <w:p>
      <w:pPr>
        <w:spacing w:line="560" w:lineRule="exact"/>
        <w:ind w:firstLine="640" w:firstLineChars="200"/>
        <w:rPr>
          <w:rFonts w:ascii="仿宋_GB2312" w:hAnsi="宋体" w:eastAsia="仿宋_GB2312"/>
          <w:sz w:val="32"/>
          <w:szCs w:val="32"/>
        </w:rPr>
      </w:pPr>
    </w:p>
    <w:p>
      <w:pPr>
        <w:spacing w:line="560" w:lineRule="exact"/>
        <w:ind w:firstLine="640" w:firstLineChars="200"/>
        <w:rPr>
          <w:rFonts w:ascii="仿宋_GB2312" w:hAnsi="宋体" w:eastAsia="仿宋_GB2312"/>
          <w:sz w:val="32"/>
          <w:szCs w:val="32"/>
        </w:rPr>
      </w:pP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附件：1.房屋重置价、成新折旧标准</w:t>
      </w:r>
    </w:p>
    <w:p>
      <w:pPr>
        <w:spacing w:line="560" w:lineRule="exact"/>
        <w:ind w:firstLine="1600" w:firstLineChars="500"/>
        <w:rPr>
          <w:rFonts w:ascii="仿宋_GB2312" w:hAnsi="宋体" w:eastAsia="仿宋_GB2312"/>
          <w:sz w:val="32"/>
          <w:szCs w:val="32"/>
        </w:rPr>
      </w:pPr>
      <w:r>
        <w:rPr>
          <w:rFonts w:hint="eastAsia" w:ascii="仿宋_GB2312" w:hAnsi="宋体" w:eastAsia="仿宋_GB2312"/>
          <w:sz w:val="32"/>
          <w:szCs w:val="32"/>
        </w:rPr>
        <w:t>2.安置房安置价和市场基准价</w:t>
      </w:r>
    </w:p>
    <w:p>
      <w:pPr>
        <w:spacing w:line="560" w:lineRule="exact"/>
        <w:ind w:firstLine="1600" w:firstLineChars="500"/>
        <w:rPr>
          <w:rFonts w:ascii="仿宋_GB2312" w:hAnsi="宋体" w:eastAsia="仿宋_GB2312"/>
          <w:sz w:val="32"/>
          <w:szCs w:val="32"/>
        </w:rPr>
      </w:pPr>
      <w:r>
        <w:rPr>
          <w:rFonts w:hint="eastAsia" w:ascii="仿宋_GB2312" w:hAnsi="宋体" w:eastAsia="仿宋_GB2312"/>
          <w:sz w:val="32"/>
          <w:szCs w:val="32"/>
        </w:rPr>
        <w:t>3.房屋室内装饰、装修补偿标准</w:t>
      </w:r>
    </w:p>
    <w:p>
      <w:pPr>
        <w:spacing w:line="560" w:lineRule="exact"/>
        <w:ind w:firstLine="1600" w:firstLineChars="500"/>
        <w:rPr>
          <w:rFonts w:ascii="仿宋_GB2312" w:hAnsi="宋体" w:eastAsia="仿宋_GB2312"/>
          <w:sz w:val="32"/>
          <w:szCs w:val="32"/>
        </w:rPr>
      </w:pPr>
      <w:r>
        <w:rPr>
          <w:rFonts w:hint="eastAsia" w:ascii="仿宋_GB2312" w:hAnsi="宋体" w:eastAsia="仿宋_GB2312"/>
          <w:sz w:val="32"/>
          <w:szCs w:val="32"/>
        </w:rPr>
        <w:t>4.构筑物及其他补偿标准</w:t>
      </w:r>
    </w:p>
    <w:p>
      <w:pPr>
        <w:spacing w:line="560" w:lineRule="exact"/>
        <w:ind w:firstLine="1600" w:firstLineChars="500"/>
        <w:rPr>
          <w:rFonts w:ascii="仿宋_GB2312" w:eastAsia="仿宋_GB2312"/>
          <w:color w:val="000000"/>
          <w:sz w:val="32"/>
          <w:szCs w:val="32"/>
        </w:rPr>
      </w:pPr>
      <w:r>
        <w:rPr>
          <w:rFonts w:hint="eastAsia" w:ascii="仿宋_GB2312" w:hAnsi="宋体" w:eastAsia="仿宋_GB2312"/>
          <w:sz w:val="32"/>
          <w:szCs w:val="32"/>
        </w:rPr>
        <w:t>5.</w:t>
      </w:r>
      <w:r>
        <w:rPr>
          <w:rFonts w:hint="eastAsia" w:ascii="仿宋_GB2312" w:eastAsia="仿宋_GB2312"/>
          <w:color w:val="000000"/>
          <w:sz w:val="32"/>
          <w:szCs w:val="32"/>
        </w:rPr>
        <w:t>农作物、经济作物、林木补偿标准</w:t>
      </w:r>
    </w:p>
    <w:p>
      <w:pPr>
        <w:spacing w:line="560" w:lineRule="exact"/>
        <w:rPr>
          <w:rFonts w:ascii="仿宋_GB2312" w:hAnsi="宋体" w:eastAsia="仿宋_GB2312"/>
          <w:sz w:val="32"/>
          <w:szCs w:val="32"/>
        </w:rPr>
      </w:pPr>
      <w:r>
        <w:rPr>
          <w:rFonts w:ascii="黑体" w:eastAsia="黑体"/>
          <w:sz w:val="32"/>
          <w:szCs w:val="32"/>
        </w:rPr>
        <w:br w:type="page"/>
      </w:r>
      <w:r>
        <w:rPr>
          <w:rFonts w:hint="eastAsia" w:ascii="仿宋_GB2312" w:hAnsi="宋体" w:eastAsia="仿宋_GB2312"/>
          <w:sz w:val="32"/>
          <w:szCs w:val="32"/>
        </w:rPr>
        <w:t>附件1：</w:t>
      </w:r>
    </w:p>
    <w:p>
      <w:pPr>
        <w:spacing w:line="600" w:lineRule="exact"/>
        <w:jc w:val="center"/>
        <w:rPr>
          <w:rFonts w:ascii="黑体" w:hAnsi="宋体" w:eastAsia="黑体"/>
          <w:sz w:val="36"/>
          <w:szCs w:val="36"/>
        </w:rPr>
      </w:pPr>
      <w:r>
        <w:rPr>
          <w:rFonts w:hint="eastAsia" w:ascii="黑体" w:hAnsi="宋体" w:eastAsia="黑体"/>
          <w:sz w:val="36"/>
          <w:szCs w:val="36"/>
        </w:rPr>
        <w:t>房屋重置价、成新折旧标准</w:t>
      </w:r>
    </w:p>
    <w:p>
      <w:pPr>
        <w:spacing w:line="600" w:lineRule="exact"/>
        <w:ind w:left="420" w:right="210"/>
        <w:jc w:val="right"/>
        <w:rPr>
          <w:rFonts w:ascii="宋体" w:hAnsi="宋体"/>
          <w:sz w:val="28"/>
          <w:szCs w:val="28"/>
        </w:rPr>
      </w:pPr>
      <w:r>
        <w:rPr>
          <w:rFonts w:ascii="宋体" w:hAnsi="宋体"/>
          <w:sz w:val="28"/>
          <w:szCs w:val="28"/>
        </w:rPr>
        <w:t>单位：元</w:t>
      </w:r>
      <w:r>
        <w:rPr>
          <w:rFonts w:hint="eastAsia" w:ascii="宋体" w:hAnsi="宋体"/>
          <w:sz w:val="28"/>
          <w:szCs w:val="28"/>
        </w:rPr>
        <w:t>/</w:t>
      </w:r>
      <w:r>
        <w:rPr>
          <w:rFonts w:ascii="宋体" w:hAnsi="宋体"/>
          <w:sz w:val="28"/>
          <w:szCs w:val="28"/>
        </w:rPr>
        <w:t>平方米</w:t>
      </w:r>
    </w:p>
    <w:tbl>
      <w:tblPr>
        <w:tblStyle w:val="3"/>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831"/>
        <w:gridCol w:w="1334"/>
        <w:gridCol w:w="1372"/>
        <w:gridCol w:w="1903"/>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房屋结构</w:t>
            </w:r>
          </w:p>
        </w:tc>
        <w:tc>
          <w:tcPr>
            <w:tcW w:w="18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钢混多层</w:t>
            </w:r>
          </w:p>
        </w:tc>
        <w:tc>
          <w:tcPr>
            <w:tcW w:w="13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砖混</w:t>
            </w:r>
          </w:p>
        </w:tc>
        <w:tc>
          <w:tcPr>
            <w:tcW w:w="13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砖木</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木结构</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简易房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价格</w:t>
            </w:r>
          </w:p>
        </w:tc>
        <w:tc>
          <w:tcPr>
            <w:tcW w:w="1831"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980</w:t>
            </w:r>
          </w:p>
        </w:tc>
        <w:tc>
          <w:tcPr>
            <w:tcW w:w="133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700</w:t>
            </w:r>
          </w:p>
        </w:tc>
        <w:tc>
          <w:tcPr>
            <w:tcW w:w="1372"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600</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500</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200</w:t>
            </w:r>
          </w:p>
        </w:tc>
      </w:tr>
    </w:tbl>
    <w:p>
      <w:pPr>
        <w:spacing w:line="600" w:lineRule="exact"/>
        <w:rPr>
          <w:rFonts w:ascii="宋体" w:hAnsi="宋体"/>
          <w:sz w:val="24"/>
        </w:rPr>
      </w:pPr>
      <w:r>
        <w:rPr>
          <w:rFonts w:hint="eastAsia" w:ascii="宋体" w:hAnsi="宋体"/>
          <w:sz w:val="24"/>
        </w:rPr>
        <w:t>说明：成新折旧按每使用1年扣除1%计算，折旧后最低不低于重置价的50%。</w:t>
      </w:r>
    </w:p>
    <w:p>
      <w:pPr>
        <w:spacing w:line="600" w:lineRule="exact"/>
        <w:rPr>
          <w:rFonts w:ascii="黑体" w:eastAsia="黑体"/>
          <w:sz w:val="32"/>
          <w:szCs w:val="32"/>
        </w:rPr>
      </w:pPr>
    </w:p>
    <w:p>
      <w:pPr>
        <w:spacing w:line="600" w:lineRule="exact"/>
        <w:rPr>
          <w:rFonts w:ascii="黑体" w:eastAsia="黑体"/>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附件2：</w:t>
      </w:r>
    </w:p>
    <w:p>
      <w:pPr>
        <w:spacing w:line="600" w:lineRule="exact"/>
        <w:jc w:val="center"/>
        <w:rPr>
          <w:rFonts w:ascii="黑体" w:hAnsi="宋体" w:eastAsia="黑体"/>
          <w:sz w:val="36"/>
          <w:szCs w:val="36"/>
        </w:rPr>
      </w:pPr>
      <w:r>
        <w:rPr>
          <w:rFonts w:hint="eastAsia" w:ascii="黑体" w:hAnsi="宋体" w:eastAsia="黑体"/>
          <w:sz w:val="36"/>
          <w:szCs w:val="36"/>
        </w:rPr>
        <w:t>安置房安置价和市场基准价</w:t>
      </w:r>
    </w:p>
    <w:p>
      <w:pPr>
        <w:spacing w:line="600" w:lineRule="exact"/>
        <w:jc w:val="right"/>
      </w:pPr>
      <w:r>
        <w:rPr>
          <w:rFonts w:hint="eastAsia" w:ascii="宋体" w:hAnsi="宋体"/>
          <w:sz w:val="28"/>
          <w:szCs w:val="28"/>
        </w:rPr>
        <w:t>元/㎡</w:t>
      </w:r>
    </w:p>
    <w:tbl>
      <w:tblPr>
        <w:tblStyle w:val="3"/>
        <w:tblW w:w="9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1385"/>
        <w:gridCol w:w="1344"/>
        <w:gridCol w:w="1903"/>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多层</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小高层</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高层</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安置房安置价</w:t>
            </w: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1400</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均价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68"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市场基准价</w:t>
            </w:r>
          </w:p>
        </w:tc>
        <w:tc>
          <w:tcPr>
            <w:tcW w:w="138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2800</w:t>
            </w:r>
          </w:p>
        </w:tc>
        <w:tc>
          <w:tcPr>
            <w:tcW w:w="1344"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w:t>
            </w:r>
          </w:p>
        </w:tc>
        <w:tc>
          <w:tcPr>
            <w:tcW w:w="190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宋体" w:hAnsi="宋体"/>
                <w:sz w:val="28"/>
                <w:szCs w:val="28"/>
              </w:rPr>
            </w:pPr>
            <w:r>
              <w:rPr>
                <w:rFonts w:hint="eastAsia" w:ascii="宋体" w:hAnsi="宋体"/>
                <w:sz w:val="28"/>
                <w:szCs w:val="28"/>
              </w:rPr>
              <w:t>／</w:t>
            </w:r>
          </w:p>
        </w:tc>
        <w:tc>
          <w:tcPr>
            <w:tcW w:w="1526"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宋体" w:hAnsi="宋体"/>
                <w:sz w:val="28"/>
                <w:szCs w:val="28"/>
              </w:rPr>
            </w:pPr>
            <w:r>
              <w:rPr>
                <w:rFonts w:hint="eastAsia" w:ascii="宋体" w:hAnsi="宋体"/>
                <w:sz w:val="28"/>
                <w:szCs w:val="28"/>
              </w:rPr>
              <w:t>均价</w:t>
            </w:r>
          </w:p>
        </w:tc>
      </w:tr>
    </w:tbl>
    <w:p>
      <w:pPr>
        <w:spacing w:line="600" w:lineRule="exact"/>
        <w:rPr>
          <w:rFonts w:ascii="宋体" w:hAnsi="宋体"/>
          <w:sz w:val="24"/>
        </w:rPr>
      </w:pPr>
      <w:r>
        <w:rPr>
          <w:rFonts w:hint="eastAsia" w:ascii="宋体" w:hAnsi="宋体"/>
          <w:sz w:val="24"/>
        </w:rPr>
        <w:t>说明：房屋层次差价率标准和房屋朝向差价率标准另行制定。</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附件3：</w:t>
      </w:r>
    </w:p>
    <w:p>
      <w:pPr>
        <w:spacing w:line="600" w:lineRule="exact"/>
        <w:jc w:val="center"/>
        <w:rPr>
          <w:rFonts w:ascii="黑体" w:hAnsi="宋体" w:eastAsia="黑体"/>
          <w:sz w:val="36"/>
          <w:szCs w:val="36"/>
        </w:rPr>
      </w:pPr>
      <w:r>
        <w:rPr>
          <w:rFonts w:hint="eastAsia" w:ascii="黑体" w:hAnsi="宋体" w:eastAsia="黑体"/>
          <w:sz w:val="36"/>
          <w:szCs w:val="36"/>
        </w:rPr>
        <w:t>房屋室内装饰、装修补偿标准</w:t>
      </w:r>
    </w:p>
    <w:tbl>
      <w:tblPr>
        <w:tblStyle w:val="3"/>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2841"/>
        <w:gridCol w:w="3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质量标准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补偿单价（元/㎡）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防盗窗罩</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不锈钢可拉式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不锈钢固定式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普通钢筋可拉式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普通钢筋固定式</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墙面油漆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无光漆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喷塑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多彩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马赛克</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瓷质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陶瓷砖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铜质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陶质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抛光砖</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60cm×60cm或以上</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不锈钢包柱</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钢混结构木龙骨</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宝丽板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贴墙面或吊顶</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三合板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油漆</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吸塑板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水磨石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嵌铜条彩色</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嵌玻璃条</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强化复合地板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实木地板</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中高档</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普通档</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大理石</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普通花岗岩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中、高档花岗岩</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 w:val="24"/>
                <w:lang w:eastAsia="zh-CN"/>
              </w:rPr>
            </w:pPr>
            <w:r>
              <w:rPr>
                <w:rFonts w:hint="eastAsia" w:ascii="宋体" w:hAnsi="宋体"/>
                <w:sz w:val="24"/>
                <w:lang w:eastAsia="zh-CN"/>
              </w:rPr>
              <w:t>坐便器</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450元/套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洗脸盆</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浴缸</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500元/套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吊柜、壁柜</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立面面积</w:t>
            </w:r>
          </w:p>
        </w:tc>
        <w:tc>
          <w:tcPr>
            <w:tcW w:w="30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120</w:t>
            </w:r>
          </w:p>
        </w:tc>
      </w:tr>
    </w:tbl>
    <w:p>
      <w:pPr>
        <w:spacing w:line="500" w:lineRule="exact"/>
        <w:rPr>
          <w:rFonts w:ascii="宋体" w:hAnsi="宋体"/>
          <w:sz w:val="24"/>
        </w:rPr>
      </w:pPr>
      <w:r>
        <w:rPr>
          <w:rFonts w:hint="eastAsia" w:ascii="宋体" w:hAnsi="宋体"/>
          <w:sz w:val="24"/>
        </w:rPr>
        <w:t>说明：1.房屋结构等级范围内的装饰不予补偿。</w:t>
      </w:r>
    </w:p>
    <w:p>
      <w:pPr>
        <w:spacing w:line="500" w:lineRule="exact"/>
        <w:rPr>
          <w:rFonts w:ascii="宋体" w:hAnsi="宋体"/>
          <w:sz w:val="24"/>
        </w:rPr>
      </w:pPr>
      <w:r>
        <w:rPr>
          <w:rFonts w:hint="eastAsia" w:ascii="宋体" w:hAnsi="宋体"/>
          <w:sz w:val="24"/>
        </w:rPr>
        <w:t xml:space="preserve">      2.本单位不包括成新，结算时应按评估比例成新计算。</w:t>
      </w:r>
    </w:p>
    <w:p>
      <w:pPr>
        <w:spacing w:line="500" w:lineRule="exact"/>
        <w:ind w:firstLine="120" w:firstLineChars="50"/>
        <w:rPr>
          <w:rFonts w:ascii="宋体" w:hAnsi="宋体"/>
          <w:sz w:val="24"/>
        </w:rPr>
      </w:pPr>
      <w:r>
        <w:rPr>
          <w:rFonts w:hint="eastAsia" w:ascii="宋体" w:hAnsi="宋体"/>
          <w:sz w:val="24"/>
        </w:rPr>
        <w:t xml:space="preserve">     3.房屋装饰补偿标准外的装饰项目按现场评估确定。</w:t>
      </w:r>
    </w:p>
    <w:p>
      <w:pPr>
        <w:spacing w:line="480" w:lineRule="exact"/>
        <w:ind w:firstLine="600" w:firstLineChars="250"/>
        <w:rPr>
          <w:rFonts w:ascii="黑体" w:eastAsia="黑体"/>
          <w:color w:val="000000"/>
          <w:sz w:val="24"/>
        </w:rPr>
      </w:pPr>
      <w:r>
        <w:rPr>
          <w:rFonts w:hint="eastAsia" w:ascii="宋体" w:hAnsi="宋体"/>
          <w:sz w:val="24"/>
        </w:rPr>
        <w:t>4.水、电、有线电视、电话等按照征收范围确定时的安装收费标准予以计算。</w:t>
      </w: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r>
        <w:rPr>
          <w:rFonts w:hint="eastAsia" w:ascii="仿宋_GB2312" w:hAnsi="宋体" w:eastAsia="仿宋_GB2312"/>
          <w:sz w:val="32"/>
          <w:szCs w:val="32"/>
        </w:rPr>
        <w:t>附件4：</w:t>
      </w:r>
    </w:p>
    <w:p>
      <w:pPr>
        <w:spacing w:line="600" w:lineRule="exact"/>
        <w:jc w:val="center"/>
        <w:rPr>
          <w:rFonts w:ascii="黑体" w:hAnsi="宋体" w:eastAsia="黑体"/>
          <w:sz w:val="36"/>
          <w:szCs w:val="36"/>
        </w:rPr>
      </w:pPr>
      <w:r>
        <w:rPr>
          <w:rFonts w:hint="eastAsia" w:ascii="黑体" w:hAnsi="宋体" w:eastAsia="黑体"/>
          <w:sz w:val="36"/>
          <w:szCs w:val="36"/>
        </w:rPr>
        <w:t>构筑物及其他补偿标准</w:t>
      </w:r>
    </w:p>
    <w:tbl>
      <w:tblPr>
        <w:tblStyle w:val="3"/>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6"/>
        <w:gridCol w:w="2841"/>
        <w:gridCol w:w="3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项  目</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质量标准</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补偿单价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水泥道坦</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砼厚度在5cm以上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砼厚度在5cm以下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砖围墙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墙体完好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方块石围墙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无形状块石围墙</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墙体基本完好</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水井</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直径在25cm以上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直径在25cm以下</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150元/口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化粪池</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一立方米以上</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200元/m³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厕所</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地面建筑</w:t>
            </w: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200元/个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粪坑</w:t>
            </w:r>
          </w:p>
        </w:tc>
        <w:tc>
          <w:tcPr>
            <w:tcW w:w="284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p>
        </w:tc>
        <w:tc>
          <w:tcPr>
            <w:tcW w:w="320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 w:val="24"/>
              </w:rPr>
            </w:pPr>
            <w:r>
              <w:rPr>
                <w:rFonts w:hint="eastAsia" w:ascii="宋体" w:hAnsi="宋体"/>
                <w:sz w:val="24"/>
              </w:rPr>
              <w:t>300元/个</w:t>
            </w:r>
          </w:p>
        </w:tc>
      </w:tr>
    </w:tbl>
    <w:p>
      <w:pPr>
        <w:spacing w:line="600" w:lineRule="exact"/>
        <w:rPr>
          <w:rFonts w:ascii="宋体" w:hAnsi="宋体"/>
          <w:sz w:val="24"/>
        </w:rPr>
      </w:pPr>
      <w:r>
        <w:rPr>
          <w:rFonts w:hint="eastAsia" w:ascii="宋体" w:hAnsi="宋体"/>
          <w:sz w:val="24"/>
        </w:rPr>
        <w:t>说明：本单价不包括成新，结算时应按评估比例成新计算。</w:t>
      </w:r>
    </w:p>
    <w:p>
      <w:pPr>
        <w:spacing w:line="600" w:lineRule="exact"/>
        <w:rPr>
          <w:rFonts w:ascii="宋体" w:hAnsi="宋体"/>
          <w:sz w:val="24"/>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r>
        <w:rPr>
          <w:rFonts w:hint="eastAsia" w:ascii="仿宋_GB2312" w:hAnsi="宋体" w:eastAsia="仿宋_GB2312"/>
          <w:sz w:val="32"/>
          <w:szCs w:val="32"/>
        </w:rPr>
        <w:t>附件5：</w:t>
      </w:r>
    </w:p>
    <w:p>
      <w:pPr>
        <w:spacing w:line="600" w:lineRule="exact"/>
        <w:jc w:val="center"/>
        <w:rPr>
          <w:rFonts w:ascii="黑体" w:hAnsi="宋体" w:eastAsia="黑体"/>
          <w:sz w:val="36"/>
          <w:szCs w:val="36"/>
        </w:rPr>
      </w:pPr>
      <w:r>
        <w:rPr>
          <w:rFonts w:hint="eastAsia" w:ascii="黑体" w:hAnsi="宋体" w:eastAsia="黑体"/>
          <w:sz w:val="36"/>
          <w:szCs w:val="36"/>
        </w:rPr>
        <w:t>农作物、经济作物、林木补偿标准</w:t>
      </w:r>
    </w:p>
    <w:tbl>
      <w:tblPr>
        <w:tblStyle w:val="3"/>
        <w:tblW w:w="9010"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0"/>
        <w:gridCol w:w="270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项目</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规格标准</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单价</w:t>
            </w:r>
          </w:p>
        </w:tc>
        <w:tc>
          <w:tcPr>
            <w:tcW w:w="216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蔬菜</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按蔬菜种类划分</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1800元/亩</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豆类</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按豆种类划分</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1000-1500元/亩</w:t>
            </w:r>
          </w:p>
        </w:tc>
        <w:tc>
          <w:tcPr>
            <w:tcW w:w="216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以实种面积为准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水稻</w:t>
            </w:r>
          </w:p>
        </w:tc>
        <w:tc>
          <w:tcPr>
            <w:tcW w:w="2700" w:type="dxa"/>
            <w:vAlign w:val="center"/>
          </w:tcPr>
          <w:p>
            <w:pPr>
              <w:widowControl/>
              <w:spacing w:line="440" w:lineRule="exact"/>
              <w:jc w:val="center"/>
              <w:rPr>
                <w:rFonts w:ascii="仿宋_GB2312" w:hAnsi="仿宋_GB2312" w:cs="仿宋_GB2312"/>
                <w:kern w:val="0"/>
                <w:sz w:val="28"/>
                <w:szCs w:val="28"/>
              </w:rPr>
            </w:pP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1200元/亩</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杉树</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樟树</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7元/株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5cm≤胸径＜8cm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15元/株</w:t>
            </w:r>
          </w:p>
        </w:tc>
        <w:tc>
          <w:tcPr>
            <w:tcW w:w="216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以地面以上1.3米处</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8cm≤胸径＜15cm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30元/株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胸径≥15cm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eastAsia="仿宋_GB2312" w:cs="仿宋_GB2312"/>
                <w:kern w:val="0"/>
                <w:sz w:val="28"/>
                <w:szCs w:val="28"/>
              </w:rPr>
              <w:t>按市场评估价</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松树</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枫树</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杂树</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胸径＜10cm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4元/株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10cm≤胸径＜15cm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胸径≥15cm</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eastAsia="仿宋_GB2312" w:cs="仿宋_GB2312"/>
                <w:kern w:val="0"/>
                <w:sz w:val="28"/>
                <w:szCs w:val="28"/>
              </w:rPr>
              <w:t>按市场评估价</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柑桔</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桃梨</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枇杷等果树</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幼龄期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15元/株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始果期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45元/株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盛果期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70元/株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衰退期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40元/株</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杨梅</w:t>
            </w: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幼龄期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40元/株</w:t>
            </w:r>
          </w:p>
        </w:tc>
        <w:tc>
          <w:tcPr>
            <w:tcW w:w="2160" w:type="dxa"/>
            <w:vMerge w:val="restart"/>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每亩不超过30株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始果期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120元/株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盛果期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240元/株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Merge w:val="continue"/>
            <w:vAlign w:val="center"/>
          </w:tcPr>
          <w:p>
            <w:pPr>
              <w:widowControl/>
              <w:spacing w:line="440" w:lineRule="exact"/>
              <w:jc w:val="center"/>
              <w:rPr>
                <w:rFonts w:ascii="仿宋_GB2312" w:hAnsi="仿宋_GB2312" w:cs="仿宋_GB2312"/>
                <w:kern w:val="0"/>
                <w:sz w:val="28"/>
                <w:szCs w:val="28"/>
              </w:rPr>
            </w:pPr>
          </w:p>
        </w:tc>
        <w:tc>
          <w:tcPr>
            <w:tcW w:w="270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衰退期</w:t>
            </w: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120元/株</w:t>
            </w:r>
          </w:p>
        </w:tc>
        <w:tc>
          <w:tcPr>
            <w:tcW w:w="2160" w:type="dxa"/>
            <w:vMerge w:val="continue"/>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毛竹</w:t>
            </w:r>
          </w:p>
        </w:tc>
        <w:tc>
          <w:tcPr>
            <w:tcW w:w="2700" w:type="dxa"/>
            <w:vAlign w:val="center"/>
          </w:tcPr>
          <w:p>
            <w:pPr>
              <w:widowControl/>
              <w:spacing w:line="440" w:lineRule="exact"/>
              <w:jc w:val="center"/>
              <w:rPr>
                <w:rFonts w:ascii="仿宋_GB2312" w:hAnsi="仿宋_GB2312" w:cs="仿宋_GB2312"/>
                <w:kern w:val="0"/>
                <w:sz w:val="28"/>
                <w:szCs w:val="28"/>
              </w:rPr>
            </w:pP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30元/100斤</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水竹</w:t>
            </w:r>
          </w:p>
        </w:tc>
        <w:tc>
          <w:tcPr>
            <w:tcW w:w="2700" w:type="dxa"/>
            <w:vAlign w:val="center"/>
          </w:tcPr>
          <w:p>
            <w:pPr>
              <w:widowControl/>
              <w:spacing w:line="440" w:lineRule="exact"/>
              <w:jc w:val="center"/>
              <w:rPr>
                <w:rFonts w:ascii="仿宋_GB2312" w:hAnsi="仿宋_GB2312" w:cs="仿宋_GB2312"/>
                <w:kern w:val="0"/>
                <w:sz w:val="28"/>
                <w:szCs w:val="28"/>
              </w:rPr>
            </w:pP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20元/100斤</w:t>
            </w:r>
          </w:p>
        </w:tc>
        <w:tc>
          <w:tcPr>
            <w:tcW w:w="2160" w:type="dxa"/>
            <w:vAlign w:val="center"/>
          </w:tcPr>
          <w:p>
            <w:pPr>
              <w:widowControl/>
              <w:spacing w:line="440" w:lineRule="exact"/>
              <w:jc w:val="center"/>
              <w:rPr>
                <w:rFonts w:ascii="仿宋_GB2312" w:hAnsi="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绿竹</w:t>
            </w:r>
          </w:p>
        </w:tc>
        <w:tc>
          <w:tcPr>
            <w:tcW w:w="2700" w:type="dxa"/>
            <w:vAlign w:val="center"/>
          </w:tcPr>
          <w:p>
            <w:pPr>
              <w:spacing w:line="440" w:lineRule="exact"/>
              <w:jc w:val="center"/>
              <w:rPr>
                <w:rFonts w:ascii="仿宋_GB2312" w:hAnsi="仿宋_GB2312" w:cs="仿宋_GB2312"/>
                <w:kern w:val="0"/>
                <w:sz w:val="28"/>
                <w:szCs w:val="28"/>
              </w:rPr>
            </w:pPr>
            <w:r>
              <w:rPr>
                <w:rFonts w:hint="eastAsia" w:ascii="仿宋_GB2312"/>
                <w:color w:val="000000"/>
                <w:sz w:val="28"/>
                <w:szCs w:val="28"/>
              </w:rPr>
              <w:t>新栽植</w:t>
            </w:r>
          </w:p>
        </w:tc>
        <w:tc>
          <w:tcPr>
            <w:tcW w:w="2520" w:type="dxa"/>
            <w:vAlign w:val="center"/>
          </w:tcPr>
          <w:p>
            <w:pPr>
              <w:spacing w:line="440" w:lineRule="exact"/>
              <w:jc w:val="center"/>
              <w:rPr>
                <w:rFonts w:ascii="仿宋_GB2312" w:hAnsi="仿宋_GB2312" w:cs="仿宋_GB2312"/>
                <w:kern w:val="0"/>
                <w:sz w:val="28"/>
                <w:szCs w:val="28"/>
              </w:rPr>
            </w:pPr>
            <w:r>
              <w:rPr>
                <w:rFonts w:hint="eastAsia" w:ascii="仿宋_GB2312"/>
                <w:color w:val="000000"/>
                <w:sz w:val="28"/>
                <w:szCs w:val="28"/>
              </w:rPr>
              <w:t>300元/亩</w:t>
            </w:r>
          </w:p>
        </w:tc>
        <w:tc>
          <w:tcPr>
            <w:tcW w:w="2160" w:type="dxa"/>
            <w:vAlign w:val="center"/>
          </w:tcPr>
          <w:p>
            <w:pPr>
              <w:spacing w:line="440" w:lineRule="exact"/>
              <w:jc w:val="center"/>
              <w:rPr>
                <w:rFonts w:ascii="仿宋_GB2312"/>
                <w:color w:val="000000"/>
                <w:sz w:val="28"/>
                <w:szCs w:val="28"/>
              </w:rPr>
            </w:pPr>
            <w:r>
              <w:rPr>
                <w:rFonts w:hint="eastAsia" w:ascii="仿宋_GB2312"/>
                <w:color w:val="000000"/>
                <w:sz w:val="28"/>
                <w:szCs w:val="28"/>
              </w:rPr>
              <w:t>每亩丛数</w:t>
            </w:r>
          </w:p>
          <w:p>
            <w:pPr>
              <w:spacing w:line="440" w:lineRule="exact"/>
              <w:jc w:val="center"/>
              <w:rPr>
                <w:rFonts w:ascii="仿宋_GB2312" w:hAnsi="仿宋_GB2312" w:cs="仿宋_GB2312"/>
                <w:kern w:val="0"/>
                <w:sz w:val="28"/>
                <w:szCs w:val="28"/>
              </w:rPr>
            </w:pPr>
            <w:r>
              <w:rPr>
                <w:rFonts w:hint="eastAsia" w:ascii="仿宋_GB2312"/>
                <w:color w:val="000000"/>
                <w:sz w:val="28"/>
                <w:szCs w:val="28"/>
              </w:rPr>
              <w:t>以40丛为准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tblCellSpacing w:w="0" w:type="dxa"/>
        </w:trPr>
        <w:tc>
          <w:tcPr>
            <w:tcW w:w="163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马蹄笋竹</w:t>
            </w:r>
          </w:p>
        </w:tc>
        <w:tc>
          <w:tcPr>
            <w:tcW w:w="2700" w:type="dxa"/>
            <w:vAlign w:val="center"/>
          </w:tcPr>
          <w:p>
            <w:pPr>
              <w:widowControl/>
              <w:spacing w:line="440" w:lineRule="exact"/>
              <w:jc w:val="center"/>
              <w:rPr>
                <w:rFonts w:ascii="仿宋_GB2312" w:hAnsi="仿宋_GB2312" w:cs="仿宋_GB2312"/>
                <w:kern w:val="0"/>
                <w:sz w:val="28"/>
                <w:szCs w:val="28"/>
              </w:rPr>
            </w:pPr>
          </w:p>
        </w:tc>
        <w:tc>
          <w:tcPr>
            <w:tcW w:w="252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300元/亩</w:t>
            </w:r>
          </w:p>
        </w:tc>
        <w:tc>
          <w:tcPr>
            <w:tcW w:w="2160" w:type="dxa"/>
            <w:vAlign w:val="center"/>
          </w:tcPr>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每亩丛数</w:t>
            </w:r>
          </w:p>
          <w:p>
            <w:pPr>
              <w:widowControl/>
              <w:spacing w:line="440" w:lineRule="exact"/>
              <w:jc w:val="center"/>
              <w:rPr>
                <w:rFonts w:ascii="仿宋_GB2312" w:hAnsi="仿宋_GB2312" w:cs="仿宋_GB2312"/>
                <w:kern w:val="0"/>
                <w:sz w:val="28"/>
                <w:szCs w:val="28"/>
              </w:rPr>
            </w:pPr>
            <w:r>
              <w:rPr>
                <w:rFonts w:hint="eastAsia" w:ascii="仿宋_GB2312" w:hAnsi="仿宋_GB2312" w:cs="仿宋_GB2312"/>
                <w:kern w:val="0"/>
                <w:sz w:val="28"/>
                <w:szCs w:val="28"/>
              </w:rPr>
              <w:t>以40丛为准</w:t>
            </w:r>
          </w:p>
        </w:tc>
      </w:tr>
    </w:tbl>
    <w:p>
      <w:pPr>
        <w:spacing w:line="560" w:lineRule="exact"/>
      </w:pPr>
      <w:r>
        <w:rPr>
          <w:rFonts w:hint="eastAsia" w:ascii="黑体" w:hAnsi="黑体" w:eastAsia="黑体"/>
          <w:sz w:val="32"/>
          <w:szCs w:val="32"/>
        </w:rPr>
        <w:t xml:space="preserve">  </w:t>
      </w:r>
      <w:r>
        <w:rPr>
          <w:rFonts w:hint="eastAsia" w:ascii="宋体" w:hAnsi="宋体" w:cs="宋体"/>
          <w:sz w:val="28"/>
          <w:szCs w:val="28"/>
        </w:rPr>
        <w:t>说明：未规定的按实际作价或评估作价予以补偿。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MT Extra">
    <w:panose1 w:val="05050102010205020202"/>
    <w:charset w:val="02"/>
    <w:family w:val="roman"/>
    <w:pitch w:val="default"/>
    <w:sig w:usb0="8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5NmVlNGM1NWM3ODI3YWQyMDRmYTdmMWIyOGZlZWMifQ=="/>
  </w:docVars>
  <w:rsids>
    <w:rsidRoot w:val="02B136F5"/>
    <w:rsid w:val="02B136F5"/>
    <w:rsid w:val="2F82439A"/>
    <w:rsid w:val="6D535020"/>
    <w:rsid w:val="6DF5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2018-07-19T02:31:00Z</dcterms:created>
  <dc:creator>qzuser</dc:creator>
  <cp:lastModifiedBy>WPS_1690526826</cp:lastModifiedBy>
  <dcterms:modified xsi:type="dcterms:W3CDTF">2024-01-02T06:42:24Z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4AFBBFE189FB43DEB7EE989376D10312_12</vt:lpwstr>
  </property>
</Properties>
</file>