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olor w:val="000000"/>
          <w:sz w:val="32"/>
          <w:szCs w:val="32"/>
        </w:rPr>
      </w:pPr>
      <w:r>
        <w:rPr>
          <w:rFonts w:hint="eastAsia" w:ascii="黑体" w:hAnsi="黑体" w:eastAsia="黑体"/>
          <w:color w:val="000000"/>
          <w:sz w:val="32"/>
          <w:szCs w:val="32"/>
        </w:rPr>
        <w:t>附件</w:t>
      </w:r>
    </w:p>
    <w:p>
      <w:pPr>
        <w:snapToGrid w:val="0"/>
        <w:spacing w:line="240" w:lineRule="exact"/>
        <w:jc w:val="center"/>
        <w:rPr>
          <w:rFonts w:hint="eastAsia" w:ascii="方正小标宋简体" w:eastAsia="方正小标宋简体"/>
          <w:color w:val="000000"/>
          <w:sz w:val="44"/>
          <w:szCs w:val="44"/>
        </w:rPr>
      </w:pPr>
    </w:p>
    <w:p>
      <w:pPr>
        <w:snapToGrid w:val="0"/>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征集意见和采纳情况汇总表</w:t>
      </w:r>
    </w:p>
    <w:p>
      <w:pPr>
        <w:snapToGrid w:val="0"/>
        <w:spacing w:line="600" w:lineRule="exact"/>
        <w:jc w:val="center"/>
        <w:rPr>
          <w:rFonts w:hint="eastAsia" w:ascii="方正小标宋简体" w:eastAsia="方正小标宋简体"/>
          <w:color w:val="000000"/>
          <w:sz w:val="44"/>
          <w:szCs w:val="44"/>
        </w:rPr>
      </w:pPr>
    </w:p>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3012"/>
        <w:gridCol w:w="1515"/>
        <w:gridCol w:w="2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400" w:lineRule="exact"/>
              <w:ind w:right="-91"/>
              <w:jc w:val="center"/>
              <w:rPr>
                <w:rFonts w:hint="eastAsia" w:ascii="仿宋_GB2312" w:eastAsia="仿宋_GB2312"/>
                <w:b/>
                <w:color w:val="000000"/>
                <w:sz w:val="32"/>
                <w:szCs w:val="32"/>
              </w:rPr>
            </w:pPr>
            <w:r>
              <w:rPr>
                <w:rFonts w:hint="eastAsia" w:ascii="仿宋_GB2312" w:eastAsia="仿宋_GB2312"/>
                <w:b/>
                <w:color w:val="000000"/>
                <w:sz w:val="32"/>
                <w:szCs w:val="32"/>
              </w:rPr>
              <w:t>序号</w:t>
            </w:r>
          </w:p>
        </w:tc>
        <w:tc>
          <w:tcPr>
            <w:tcW w:w="3012" w:type="dxa"/>
            <w:vAlign w:val="center"/>
          </w:tcPr>
          <w:p>
            <w:pPr>
              <w:snapToGrid w:val="0"/>
              <w:spacing w:line="600" w:lineRule="exact"/>
              <w:ind w:right="-108"/>
              <w:jc w:val="center"/>
              <w:rPr>
                <w:rFonts w:hint="eastAsia" w:ascii="仿宋_GB2312" w:eastAsia="仿宋_GB2312"/>
                <w:b/>
                <w:color w:val="000000"/>
                <w:sz w:val="32"/>
                <w:szCs w:val="32"/>
              </w:rPr>
            </w:pPr>
            <w:r>
              <w:rPr>
                <w:rFonts w:ascii="仿宋_GB2312" w:eastAsia="仿宋_GB2312"/>
                <w:b/>
                <w:color w:val="000000"/>
                <w:sz w:val="32"/>
                <w:szCs w:val="32"/>
              </w:rPr>
              <w:t>提出的修改意见</w:t>
            </w:r>
          </w:p>
        </w:tc>
        <w:tc>
          <w:tcPr>
            <w:tcW w:w="1515" w:type="dxa"/>
            <w:vAlign w:val="center"/>
          </w:tcPr>
          <w:p>
            <w:pPr>
              <w:snapToGrid w:val="0"/>
              <w:spacing w:line="600" w:lineRule="exact"/>
              <w:ind w:right="-91"/>
              <w:jc w:val="center"/>
              <w:rPr>
                <w:rFonts w:hint="eastAsia" w:ascii="仿宋_GB2312" w:eastAsia="仿宋_GB2312"/>
                <w:b/>
                <w:color w:val="000000"/>
                <w:sz w:val="32"/>
                <w:szCs w:val="32"/>
              </w:rPr>
            </w:pPr>
            <w:r>
              <w:rPr>
                <w:rFonts w:ascii="仿宋_GB2312" w:eastAsia="仿宋_GB2312"/>
                <w:b/>
                <w:color w:val="000000"/>
                <w:sz w:val="32"/>
                <w:szCs w:val="32"/>
              </w:rPr>
              <w:t>采纳情况</w:t>
            </w:r>
          </w:p>
        </w:tc>
        <w:tc>
          <w:tcPr>
            <w:tcW w:w="2961" w:type="dxa"/>
            <w:vAlign w:val="center"/>
          </w:tcPr>
          <w:p>
            <w:pPr>
              <w:snapToGrid w:val="0"/>
              <w:spacing w:line="600" w:lineRule="exact"/>
              <w:ind w:right="-46"/>
              <w:jc w:val="center"/>
              <w:rPr>
                <w:rFonts w:hint="eastAsia" w:ascii="仿宋_GB2312" w:eastAsia="仿宋_GB2312"/>
                <w:b/>
                <w:color w:val="000000"/>
                <w:sz w:val="32"/>
                <w:szCs w:val="32"/>
              </w:rPr>
            </w:pPr>
            <w:r>
              <w:rPr>
                <w:rFonts w:ascii="仿宋_GB2312" w:eastAsia="仿宋_GB2312"/>
                <w:b/>
                <w:color w:val="000000"/>
                <w:sz w:val="32"/>
                <w:szCs w:val="32"/>
              </w:rPr>
              <w:t>采纳与否的理由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eastAsia="zh-CN"/>
              </w:rPr>
            </w:pPr>
            <w:r>
              <w:rPr>
                <w:rFonts w:hint="eastAsia" w:ascii="仿宋" w:hAnsi="仿宋" w:eastAsia="仿宋" w:cs="仿宋"/>
                <w:sz w:val="24"/>
                <w:szCs w:val="24"/>
              </w:rPr>
              <w:t>第5点“按首发融资金额的1%给予奖励”</w:t>
            </w:r>
            <w:r>
              <w:rPr>
                <w:rFonts w:hint="eastAsia" w:ascii="仿宋" w:hAnsi="仿宋" w:eastAsia="仿宋" w:cs="仿宋"/>
                <w:sz w:val="24"/>
                <w:szCs w:val="24"/>
                <w:lang w:eastAsia="zh-CN"/>
              </w:rPr>
              <w:t>，</w:t>
            </w:r>
            <w:r>
              <w:rPr>
                <w:rFonts w:hint="eastAsia" w:ascii="仿宋" w:hAnsi="仿宋" w:eastAsia="仿宋" w:cs="仿宋"/>
                <w:sz w:val="24"/>
                <w:szCs w:val="24"/>
              </w:rPr>
              <w:t>建议改为按投资金额。</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采纳</w:t>
            </w: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使上下文奖励兑现测算依据保持一致。</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p>
        </w:tc>
        <w:tc>
          <w:tcPr>
            <w:tcW w:w="30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eastAsia="仿宋_GB2312"/>
                <w:color w:val="000000"/>
                <w:sz w:val="32"/>
                <w:szCs w:val="32"/>
              </w:rPr>
            </w:pPr>
            <w:r>
              <w:rPr>
                <w:rFonts w:hint="eastAsia" w:ascii="仿宋" w:hAnsi="仿宋" w:eastAsia="仿宋" w:cs="仿宋"/>
                <w:sz w:val="24"/>
                <w:szCs w:val="24"/>
              </w:rPr>
              <w:t>第7点建议增加条件:迁入满5年。</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firstLine="320" w:firstLineChars="100"/>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采纳</w:t>
            </w: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从平阳实际出发给予时间限制。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w:t>
            </w:r>
          </w:p>
        </w:tc>
        <w:tc>
          <w:tcPr>
            <w:tcW w:w="3012" w:type="dxa"/>
            <w:vAlign w:val="center"/>
          </w:tcPr>
          <w:p>
            <w:pPr>
              <w:snapToGrid w:val="0"/>
              <w:jc w:val="left"/>
              <w:rPr>
                <w:rFonts w:hint="eastAsia" w:ascii="仿宋_GB2312" w:eastAsia="仿宋_GB2312"/>
                <w:color w:val="000000"/>
                <w:sz w:val="32"/>
                <w:szCs w:val="32"/>
              </w:rPr>
            </w:pPr>
            <w:r>
              <w:rPr>
                <w:rFonts w:hint="eastAsia" w:ascii="仿宋" w:hAnsi="仿宋" w:eastAsia="仿宋" w:cs="仿宋"/>
                <w:sz w:val="24"/>
                <w:szCs w:val="24"/>
              </w:rPr>
              <w:t>第11点“拟上市企业地价支持。该企业的上市申请被中国证监会(或上交所、深交所、北交所)正式受理或已成功在境外上市的，上述工业用地另给予每亩5万元的扶持奖励。”建议删除。</w:t>
            </w:r>
          </w:p>
        </w:tc>
        <w:tc>
          <w:tcPr>
            <w:tcW w:w="15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eastAsia="仿宋_GB2312"/>
                <w:color w:val="000000"/>
                <w:sz w:val="32"/>
                <w:szCs w:val="32"/>
              </w:rPr>
            </w:pPr>
            <w:r>
              <w:rPr>
                <w:rFonts w:hint="eastAsia" w:ascii="仿宋" w:hAnsi="仿宋" w:eastAsia="仿宋" w:cs="仿宋"/>
                <w:sz w:val="24"/>
                <w:szCs w:val="24"/>
              </w:rPr>
              <w:t>采纳</w:t>
            </w:r>
          </w:p>
        </w:tc>
        <w:tc>
          <w:tcPr>
            <w:tcW w:w="2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eastAsia="仿宋_GB2312"/>
                <w:color w:val="000000"/>
                <w:sz w:val="32"/>
                <w:szCs w:val="32"/>
                <w:lang w:val="en-US" w:eastAsia="zh-CN"/>
              </w:rPr>
            </w:pPr>
            <w:r>
              <w:rPr>
                <w:rFonts w:hint="eastAsia" w:ascii="仿宋" w:hAnsi="仿宋" w:eastAsia="仿宋" w:cs="仿宋"/>
                <w:sz w:val="24"/>
                <w:szCs w:val="24"/>
              </w:rPr>
              <w:t>因温州市及周边县并没有此项政策，且</w:t>
            </w:r>
            <w:r>
              <w:rPr>
                <w:rFonts w:hint="eastAsia" w:ascii="仿宋" w:hAnsi="仿宋" w:eastAsia="仿宋" w:cs="仿宋"/>
                <w:sz w:val="24"/>
                <w:szCs w:val="24"/>
                <w:lang w:val="en-US" w:eastAsia="zh-CN"/>
              </w:rPr>
              <w:t>我县</w:t>
            </w:r>
            <w:r>
              <w:rPr>
                <w:rFonts w:hint="eastAsia" w:ascii="仿宋" w:hAnsi="仿宋" w:eastAsia="仿宋" w:cs="仿宋"/>
                <w:sz w:val="24"/>
                <w:szCs w:val="24"/>
              </w:rPr>
              <w:t>已有“企业被列为我县拟上市企业开始至成功上市交易期间通过公开招拍挂方式受让的我县工业用地，出让起始价按工业用地片区指导价评估价的70%执行”优惠政策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4" w:type="dxa"/>
            <w:vAlign w:val="center"/>
          </w:tcPr>
          <w:p>
            <w:pPr>
              <w:snapToGrid w:val="0"/>
              <w:spacing w:line="600" w:lineRule="exact"/>
              <w:ind w:right="640"/>
              <w:jc w:val="cente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w:t>
            </w:r>
          </w:p>
        </w:tc>
        <w:tc>
          <w:tcPr>
            <w:tcW w:w="3012" w:type="dxa"/>
            <w:vAlign w:val="center"/>
          </w:tcPr>
          <w:p>
            <w:pPr>
              <w:snapToGrid w:val="0"/>
              <w:spacing w:line="600" w:lineRule="exact"/>
              <w:ind w:right="640"/>
              <w:jc w:val="center"/>
              <w:rPr>
                <w:rFonts w:hint="eastAsia" w:ascii="仿宋_GB2312" w:eastAsia="仿宋_GB2312"/>
                <w:color w:val="000000"/>
                <w:sz w:val="32"/>
                <w:szCs w:val="32"/>
              </w:rPr>
            </w:pPr>
          </w:p>
        </w:tc>
        <w:tc>
          <w:tcPr>
            <w:tcW w:w="1515" w:type="dxa"/>
            <w:vAlign w:val="center"/>
          </w:tcPr>
          <w:p>
            <w:pPr>
              <w:snapToGrid w:val="0"/>
              <w:spacing w:line="600" w:lineRule="exact"/>
              <w:ind w:right="640"/>
              <w:jc w:val="center"/>
              <w:rPr>
                <w:rFonts w:hint="eastAsia" w:ascii="仿宋_GB2312" w:eastAsia="仿宋_GB2312"/>
                <w:color w:val="000000"/>
                <w:sz w:val="32"/>
                <w:szCs w:val="32"/>
                <w:lang w:eastAsia="zh-CN"/>
              </w:rPr>
            </w:pPr>
          </w:p>
        </w:tc>
        <w:tc>
          <w:tcPr>
            <w:tcW w:w="2961" w:type="dxa"/>
            <w:vAlign w:val="center"/>
          </w:tcPr>
          <w:p>
            <w:pPr>
              <w:snapToGrid w:val="0"/>
              <w:spacing w:line="600" w:lineRule="exact"/>
              <w:ind w:right="640"/>
              <w:jc w:val="center"/>
              <w:rPr>
                <w:rFonts w:hint="eastAsia" w:ascii="仿宋_GB2312" w:eastAsia="仿宋_GB2312"/>
                <w:color w:val="000000"/>
                <w:sz w:val="32"/>
                <w:szCs w:val="32"/>
              </w:rPr>
            </w:pPr>
          </w:p>
        </w:tc>
      </w:tr>
    </w:tbl>
    <w:p>
      <w:pPr>
        <w:snapToGrid w:val="0"/>
        <w:spacing w:line="600" w:lineRule="exact"/>
        <w:ind w:right="640"/>
        <w:jc w:val="righ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jc w:val="righ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单位：</w:t>
      </w:r>
      <w:r>
        <w:rPr>
          <w:rFonts w:hint="eastAsia" w:ascii="仿宋_GB2312" w:eastAsia="仿宋_GB2312"/>
          <w:color w:val="000000"/>
          <w:sz w:val="32"/>
          <w:szCs w:val="32"/>
          <w:lang w:eastAsia="zh-CN"/>
        </w:rPr>
        <w:t>平阳县金融工作服务中心</w:t>
      </w:r>
    </w:p>
    <w:p>
      <w:pPr>
        <w:snapToGrid w:val="0"/>
        <w:spacing w:line="600" w:lineRule="exact"/>
        <w:ind w:right="640"/>
        <w:jc w:val="right"/>
      </w:pP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ZWQwZjRiNWNmYjAxYzMyMjEwNTY4ZDAzMjc5MTcifQ=="/>
  </w:docVars>
  <w:rsids>
    <w:rsidRoot w:val="007F36DA"/>
    <w:rsid w:val="00357885"/>
    <w:rsid w:val="007F36DA"/>
    <w:rsid w:val="19EB54AB"/>
    <w:rsid w:val="1D804FEC"/>
    <w:rsid w:val="2CE61DCF"/>
    <w:rsid w:val="2E651A05"/>
    <w:rsid w:val="30A0452D"/>
    <w:rsid w:val="35DE2F03"/>
    <w:rsid w:val="3762431F"/>
    <w:rsid w:val="4DE47E96"/>
    <w:rsid w:val="50FF173B"/>
    <w:rsid w:val="513A3EBB"/>
    <w:rsid w:val="58C03462"/>
    <w:rsid w:val="5F4F11D9"/>
    <w:rsid w:val="648B5CDD"/>
    <w:rsid w:val="6BA33A1F"/>
    <w:rsid w:val="6D5F11EB"/>
    <w:rsid w:val="7708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283</Words>
  <Characters>290</Characters>
  <Lines>1</Lines>
  <Paragraphs>1</Paragraphs>
  <TotalTime>4</TotalTime>
  <ScaleCrop>false</ScaleCrop>
  <LinksUpToDate>false</LinksUpToDate>
  <CharactersWithSpaces>290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2019-05-14T08:50:00Z</dcterms:created>
  <dc:creator>AutoBVT</dc:creator>
  <cp:lastModifiedBy>Administrator</cp:lastModifiedBy>
  <dcterms:modified xsi:type="dcterms:W3CDTF">2022-09-05T09:16:15Z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ADE0B24168A642B48555A1BFE0503506</vt:lpwstr>
  </property>
</Properties>
</file>