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关于征求《平阳县工程建设项目“评定分离”定标工作导则（试行）》意见的通知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各有关单位：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为进一步深化工程建设项目招投标领域“放管服”改革，更好地贯彻《中华人民共和国招标投标</w:t>
      </w:r>
      <w:r>
        <w:rPr>
          <w:rFonts w:hint="eastAsia" w:ascii="仿宋_GB2312" w:hAnsi="Calibri" w:cs="Times New Roman"/>
          <w:kern w:val="2"/>
          <w:sz w:val="32"/>
          <w:szCs w:val="32"/>
          <w:lang w:val="en-US" w:eastAsia="zh-CN" w:bidi="ar-SA"/>
        </w:rPr>
        <w:t>法</w:t>
      </w:r>
      <w:r>
        <w:rPr>
          <w:rFonts w:hint="eastAsia" w:ascii="仿宋_GB2312" w:hAnsi="Calibri" w:eastAsia="仿宋_GB2312" w:cs="Times New Roman"/>
          <w:kern w:val="2"/>
          <w:sz w:val="32"/>
          <w:szCs w:val="32"/>
          <w:lang w:val="en-US" w:eastAsia="zh-CN" w:bidi="ar-SA"/>
        </w:rPr>
        <w:t>实施条例》《浙江省人民政府关于进一步加强工程建设项目招标投标领域依法治理的意见》（浙政发〔2021〕5号）、《温州市人民政府关于进一步规范工程建设项目招标投标活动的实施意见》（温政发〔2021〕11号）温州市建设工程“评定分离”定标工作导则》（温政发〔2021〕47号）等文件精神，制定本工作导则。</w:t>
      </w:r>
      <w:r>
        <w:rPr>
          <w:rFonts w:hint="eastAsia" w:ascii="仿宋_GB2312" w:hAnsi="Calibri" w:cs="Times New Roman"/>
          <w:kern w:val="2"/>
          <w:sz w:val="32"/>
          <w:szCs w:val="32"/>
          <w:lang w:val="en-US" w:eastAsia="zh-CN" w:bidi="ar-SA"/>
        </w:rPr>
        <w:t>根据县政府工作部署，</w:t>
      </w:r>
      <w:r>
        <w:rPr>
          <w:rFonts w:hint="eastAsia" w:ascii="仿宋_GB2312" w:hAnsi="Calibri" w:eastAsia="仿宋_GB2312" w:cs="Times New Roman"/>
          <w:kern w:val="2"/>
          <w:sz w:val="32"/>
          <w:szCs w:val="32"/>
          <w:lang w:val="en-US" w:eastAsia="zh-CN" w:bidi="ar-SA"/>
        </w:rPr>
        <w:t>现向有关部门征求意见。如有修改意见，请于2022年</w:t>
      </w:r>
      <w:r>
        <w:rPr>
          <w:rFonts w:hint="eastAsia" w:ascii="仿宋_GB2312" w:hAnsi="Calibri" w:cs="Times New Roman"/>
          <w:kern w:val="2"/>
          <w:sz w:val="32"/>
          <w:szCs w:val="32"/>
          <w:lang w:val="en-US" w:eastAsia="zh-CN" w:bidi="ar-SA"/>
        </w:rPr>
        <w:t>3</w:t>
      </w:r>
      <w:r>
        <w:rPr>
          <w:rFonts w:hint="eastAsia" w:ascii="仿宋_GB2312" w:hAnsi="Calibri" w:eastAsia="仿宋_GB2312" w:cs="Times New Roman"/>
          <w:kern w:val="2"/>
          <w:sz w:val="32"/>
          <w:szCs w:val="32"/>
          <w:lang w:val="en-US" w:eastAsia="zh-CN" w:bidi="ar-SA"/>
        </w:rPr>
        <w:t>月</w:t>
      </w:r>
      <w:r>
        <w:rPr>
          <w:rFonts w:hint="eastAsia" w:ascii="仿宋_GB2312" w:hAnsi="Calibri" w:cs="Times New Roman"/>
          <w:kern w:val="2"/>
          <w:sz w:val="32"/>
          <w:szCs w:val="32"/>
          <w:lang w:val="en-US" w:eastAsia="zh-CN" w:bidi="ar-SA"/>
        </w:rPr>
        <w:t>11</w:t>
      </w:r>
      <w:r>
        <w:rPr>
          <w:rFonts w:hint="eastAsia" w:ascii="仿宋_GB2312" w:hAnsi="Calibri" w:eastAsia="仿宋_GB2312" w:cs="Times New Roman"/>
          <w:kern w:val="2"/>
          <w:sz w:val="32"/>
          <w:szCs w:val="32"/>
          <w:lang w:val="en-US" w:eastAsia="zh-CN" w:bidi="ar-SA"/>
        </w:rPr>
        <w:t>日（星期</w:t>
      </w:r>
      <w:r>
        <w:rPr>
          <w:rFonts w:hint="eastAsia" w:ascii="仿宋_GB2312" w:hAnsi="Calibri" w:cs="Times New Roman"/>
          <w:kern w:val="2"/>
          <w:sz w:val="32"/>
          <w:szCs w:val="32"/>
          <w:lang w:val="en-US" w:eastAsia="zh-CN" w:bidi="ar-SA"/>
        </w:rPr>
        <w:t>五</w:t>
      </w:r>
      <w:r>
        <w:rPr>
          <w:rFonts w:hint="eastAsia" w:ascii="仿宋_GB2312" w:hAnsi="Calibri" w:eastAsia="仿宋_GB2312" w:cs="Times New Roman"/>
          <w:kern w:val="2"/>
          <w:sz w:val="32"/>
          <w:szCs w:val="32"/>
          <w:lang w:val="en-US" w:eastAsia="zh-CN" w:bidi="ar-SA"/>
        </w:rPr>
        <w:t>）下午17:00时前以书面形式反馈至平阳县公共资源交易管委办，</w:t>
      </w:r>
      <w:r>
        <w:rPr>
          <w:rFonts w:hint="eastAsia" w:ascii="仿宋_GB2312" w:hAnsi="Calibri" w:cs="Times New Roman"/>
          <w:kern w:val="2"/>
          <w:sz w:val="32"/>
          <w:szCs w:val="32"/>
          <w:lang w:val="en-US" w:eastAsia="zh-CN" w:bidi="ar-SA"/>
        </w:rPr>
        <w:t>若无意见请在附件二意见反馈单上签署“无意见”</w:t>
      </w:r>
      <w:r>
        <w:rPr>
          <w:rFonts w:hint="eastAsia" w:ascii="仿宋_GB2312" w:hAnsi="Calibri" w:eastAsia="仿宋_GB2312" w:cs="Times New Roman"/>
          <w:kern w:val="2"/>
          <w:sz w:val="32"/>
          <w:szCs w:val="32"/>
          <w:lang w:val="en-US" w:eastAsia="zh-CN" w:bidi="ar-SA"/>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联系人：</w:t>
      </w:r>
      <w:r>
        <w:rPr>
          <w:rFonts w:hint="eastAsia" w:ascii="仿宋_GB2312" w:hAnsi="Calibri" w:cs="Times New Roman"/>
          <w:kern w:val="2"/>
          <w:sz w:val="32"/>
          <w:szCs w:val="32"/>
          <w:lang w:val="en-US" w:eastAsia="zh-CN" w:bidi="ar-SA"/>
        </w:rPr>
        <w:t>林志颖</w:t>
      </w:r>
      <w:r>
        <w:rPr>
          <w:rFonts w:hint="eastAsia" w:ascii="仿宋_GB2312" w:hAnsi="Calibri" w:eastAsia="仿宋_GB2312" w:cs="Times New Roman"/>
          <w:kern w:val="2"/>
          <w:sz w:val="32"/>
          <w:szCs w:val="32"/>
          <w:lang w:val="en-US" w:eastAsia="zh-CN" w:bidi="ar-SA"/>
        </w:rPr>
        <w:t>，联系电话：</w:t>
      </w:r>
      <w:r>
        <w:rPr>
          <w:rFonts w:hint="eastAsia" w:ascii="仿宋_GB2312" w:hAnsi="Calibri" w:cs="Times New Roman"/>
          <w:kern w:val="2"/>
          <w:sz w:val="32"/>
          <w:szCs w:val="32"/>
          <w:lang w:val="en-US" w:eastAsia="zh-CN" w:bidi="ar-SA"/>
        </w:rPr>
        <w:t>63193033（662498）</w:t>
      </w:r>
      <w:r>
        <w:rPr>
          <w:rFonts w:hint="eastAsia" w:ascii="仿宋_GB2312" w:hAnsi="Calibri" w:eastAsia="仿宋_GB2312" w:cs="Times New Roman"/>
          <w:kern w:val="2"/>
          <w:sz w:val="32"/>
          <w:szCs w:val="32"/>
          <w:lang w:val="en-US" w:eastAsia="zh-CN" w:bidi="ar-SA"/>
        </w:rPr>
        <w:t>，传真：</w:t>
      </w:r>
      <w:r>
        <w:rPr>
          <w:rFonts w:hint="eastAsia" w:ascii="仿宋_GB2312" w:hAnsi="Calibri" w:cs="Times New Roman"/>
          <w:kern w:val="2"/>
          <w:sz w:val="32"/>
          <w:szCs w:val="32"/>
          <w:lang w:val="en-US" w:eastAsia="zh-CN" w:bidi="ar-SA"/>
        </w:rPr>
        <w:t>63193222</w:t>
      </w:r>
      <w:r>
        <w:rPr>
          <w:rFonts w:hint="eastAsia" w:ascii="仿宋_GB2312" w:hAnsi="Calibri" w:eastAsia="仿宋_GB2312" w:cs="Times New Roman"/>
          <w:kern w:val="2"/>
          <w:sz w:val="32"/>
          <w:szCs w:val="32"/>
          <w:lang w:val="en-US" w:eastAsia="zh-CN" w:bidi="ar-SA"/>
        </w:rPr>
        <w:t>，邮箱：</w:t>
      </w:r>
      <w:r>
        <w:rPr>
          <w:rFonts w:hint="eastAsia" w:ascii="仿宋_GB2312" w:hAnsi="Calibri" w:cs="Times New Roman"/>
          <w:kern w:val="2"/>
          <w:sz w:val="32"/>
          <w:szCs w:val="32"/>
          <w:lang w:val="en-US" w:eastAsia="zh-CN" w:bidi="ar-SA"/>
        </w:rPr>
        <w:t>652397981</w:t>
      </w:r>
      <w:r>
        <w:rPr>
          <w:rFonts w:hint="eastAsia" w:ascii="仿宋_GB2312" w:hAnsi="Calibri" w:eastAsia="仿宋_GB2312" w:cs="Times New Roman"/>
          <w:kern w:val="2"/>
          <w:sz w:val="32"/>
          <w:szCs w:val="32"/>
          <w:lang w:val="en-US" w:eastAsia="zh-CN" w:bidi="ar-SA"/>
        </w:rPr>
        <w:t>@qq.com</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附件：</w:t>
      </w:r>
      <w:r>
        <w:rPr>
          <w:rFonts w:hint="eastAsia" w:ascii="仿宋_GB2312" w:hAnsi="Calibri" w:cs="Times New Roman"/>
          <w:kern w:val="2"/>
          <w:sz w:val="32"/>
          <w:szCs w:val="32"/>
          <w:lang w:val="en-US" w:eastAsia="zh-CN" w:bidi="ar-SA"/>
        </w:rPr>
        <w:t>1.</w:t>
      </w:r>
      <w:r>
        <w:rPr>
          <w:rFonts w:hint="eastAsia" w:ascii="仿宋_GB2312" w:hAnsi="Calibri" w:eastAsia="仿宋_GB2312" w:cs="Times New Roman"/>
          <w:kern w:val="2"/>
          <w:sz w:val="32"/>
          <w:szCs w:val="32"/>
          <w:lang w:val="en-US" w:eastAsia="zh-CN" w:bidi="ar-SA"/>
        </w:rPr>
        <w:t>《平阳县工程建设项目“评定分离”定标工作导则征求意见稿（试行）修改版》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Calibri" w:eastAsia="仿宋_GB2312" w:cs="Times New Roman"/>
          <w:kern w:val="2"/>
          <w:sz w:val="32"/>
          <w:szCs w:val="32"/>
          <w:lang w:val="en-US" w:eastAsia="zh-CN" w:bidi="ar-SA"/>
        </w:rPr>
      </w:pPr>
      <w:r>
        <w:rPr>
          <w:rFonts w:hint="eastAsia" w:ascii="仿宋_GB2312" w:hAnsi="Calibri" w:cs="Times New Roman"/>
          <w:kern w:val="2"/>
          <w:sz w:val="32"/>
          <w:szCs w:val="32"/>
          <w:lang w:val="en-US" w:eastAsia="zh-CN" w:bidi="ar-SA"/>
        </w:rPr>
        <w:t xml:space="preserve">      2.</w:t>
      </w:r>
      <w:r>
        <w:rPr>
          <w:rFonts w:hint="eastAsia" w:ascii="仿宋_GB2312" w:eastAsia="仿宋_GB2312"/>
          <w:sz w:val="32"/>
          <w:szCs w:val="32"/>
        </w:rPr>
        <w:t>《征求意见反馈单》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Calibri" w:eastAsia="仿宋_GB2312" w:cs="Times New Roman"/>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Calibri" w:eastAsia="仿宋_GB2312" w:cs="Times New Roman"/>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Calibri" w:eastAsia="仿宋_GB2312" w:cs="Times New Roman"/>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right"/>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平阳县公共资源交易</w:t>
      </w:r>
      <w:r>
        <w:rPr>
          <w:rFonts w:hint="eastAsia" w:ascii="仿宋_GB2312" w:hAnsi="Calibri" w:cs="Times New Roman"/>
          <w:kern w:val="2"/>
          <w:sz w:val="32"/>
          <w:szCs w:val="32"/>
          <w:lang w:val="en-US" w:eastAsia="zh-CN" w:bidi="ar-SA"/>
        </w:rPr>
        <w:t>管理委员会办公室</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仿宋_GB2312" w:hAnsi="Calibri" w:cs="Times New Roman"/>
          <w:kern w:val="2"/>
          <w:sz w:val="32"/>
          <w:szCs w:val="32"/>
          <w:lang w:val="en-US" w:eastAsia="zh-CN" w:bidi="ar-SA"/>
        </w:rPr>
        <w:t xml:space="preserve">                       </w:t>
      </w:r>
      <w:r>
        <w:rPr>
          <w:rFonts w:hint="eastAsia" w:ascii="仿宋_GB2312" w:hAnsi="Calibri" w:eastAsia="仿宋_GB2312" w:cs="Times New Roman"/>
          <w:kern w:val="2"/>
          <w:sz w:val="32"/>
          <w:szCs w:val="32"/>
          <w:lang w:val="en-US" w:eastAsia="zh-CN" w:bidi="ar-SA"/>
        </w:rPr>
        <w:t>202</w:t>
      </w:r>
      <w:r>
        <w:rPr>
          <w:rFonts w:hint="eastAsia" w:ascii="仿宋_GB2312" w:hAnsi="Calibri" w:cs="Times New Roman"/>
          <w:kern w:val="2"/>
          <w:sz w:val="32"/>
          <w:szCs w:val="32"/>
          <w:lang w:val="en-US" w:eastAsia="zh-CN" w:bidi="ar-SA"/>
        </w:rPr>
        <w:t>2</w:t>
      </w:r>
      <w:r>
        <w:rPr>
          <w:rFonts w:hint="eastAsia" w:ascii="仿宋_GB2312" w:hAnsi="Calibri" w:eastAsia="仿宋_GB2312" w:cs="Times New Roman"/>
          <w:kern w:val="2"/>
          <w:sz w:val="32"/>
          <w:szCs w:val="32"/>
          <w:lang w:val="en-US" w:eastAsia="zh-CN" w:bidi="ar-SA"/>
        </w:rPr>
        <w:t>年</w:t>
      </w:r>
      <w:r>
        <w:rPr>
          <w:rFonts w:hint="eastAsia" w:ascii="仿宋_GB2312" w:hAnsi="Calibri" w:cs="Times New Roman"/>
          <w:kern w:val="2"/>
          <w:sz w:val="32"/>
          <w:szCs w:val="32"/>
          <w:lang w:val="en-US" w:eastAsia="zh-CN" w:bidi="ar-SA"/>
        </w:rPr>
        <w:t>3</w:t>
      </w:r>
      <w:r>
        <w:rPr>
          <w:rFonts w:hint="eastAsia" w:ascii="仿宋_GB2312" w:hAnsi="Calibri" w:eastAsia="仿宋_GB2312" w:cs="Times New Roman"/>
          <w:kern w:val="2"/>
          <w:sz w:val="32"/>
          <w:szCs w:val="32"/>
          <w:lang w:val="en-US" w:eastAsia="zh-CN" w:bidi="ar-SA"/>
        </w:rPr>
        <w:t>月</w:t>
      </w:r>
      <w:r>
        <w:rPr>
          <w:rFonts w:hint="eastAsia" w:ascii="仿宋_GB2312" w:hAnsi="Calibri" w:cs="Times New Roman"/>
          <w:kern w:val="2"/>
          <w:sz w:val="32"/>
          <w:szCs w:val="32"/>
          <w:lang w:val="en-US" w:eastAsia="zh-CN" w:bidi="ar-SA"/>
        </w:rPr>
        <w:t>3</w:t>
      </w:r>
      <w:r>
        <w:rPr>
          <w:rFonts w:hint="eastAsia" w:ascii="仿宋_GB2312" w:hAnsi="Calibri" w:eastAsia="仿宋_GB2312" w:cs="Times New Roman"/>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黑体" w:hAnsi="黑体" w:eastAsia="黑体"/>
          <w:snapToGrid w:val="0"/>
          <w:color w:val="000000"/>
          <w:sz w:val="32"/>
          <w:szCs w:val="32"/>
        </w:rPr>
        <w:t>附件</w:t>
      </w:r>
      <w:r>
        <w:rPr>
          <w:rFonts w:ascii="黑体" w:hAnsi="黑体" w:eastAsia="黑体"/>
          <w:snapToGrid w:val="0"/>
          <w:color w:val="000000"/>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平阳县</w:t>
      </w:r>
      <w:r>
        <w:rPr>
          <w:rFonts w:hint="eastAsia" w:ascii="方正小标宋简体" w:hAnsi="方正小标宋简体" w:eastAsia="方正小标宋简体" w:cs="方正小标宋简体"/>
          <w:b w:val="0"/>
          <w:bCs w:val="0"/>
          <w:sz w:val="44"/>
          <w:szCs w:val="44"/>
        </w:rPr>
        <w:t>工程建设项目“评定分离”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定标工作导则</w:t>
      </w:r>
      <w:r>
        <w:rPr>
          <w:rFonts w:hint="eastAsia" w:ascii="方正小标宋简体" w:hAnsi="方正小标宋简体" w:eastAsia="方正小标宋简体" w:cs="方正小标宋简体"/>
          <w:b w:val="0"/>
          <w:bCs w:val="0"/>
          <w:sz w:val="44"/>
          <w:szCs w:val="44"/>
          <w:lang w:eastAsia="zh-CN"/>
        </w:rPr>
        <w:t>征求意见稿</w:t>
      </w:r>
      <w:r>
        <w:rPr>
          <w:rFonts w:hint="eastAsia" w:ascii="方正小标宋简体" w:hAnsi="方正小标宋简体" w:eastAsia="方正小标宋简体" w:cs="方正小标宋简体"/>
          <w:b w:val="0"/>
          <w:bCs w:val="0"/>
          <w:sz w:val="44"/>
          <w:szCs w:val="44"/>
        </w:rPr>
        <w:t>（试行）</w:t>
      </w:r>
    </w:p>
    <w:p>
      <w:pPr>
        <w:pStyle w:val="2"/>
        <w:jc w:val="center"/>
        <w:rPr>
          <w:rFonts w:hint="eastAsia" w:eastAsia="方正小标宋简体"/>
          <w:lang w:eastAsia="zh-CN"/>
        </w:rPr>
      </w:pPr>
      <w:r>
        <w:rPr>
          <w:rFonts w:hint="eastAsia" w:ascii="方正小标宋简体" w:hAnsi="方正小标宋简体" w:eastAsia="方正小标宋简体" w:cs="方正小标宋简体"/>
          <w:b w:val="0"/>
          <w:bCs w:val="0"/>
          <w:sz w:val="44"/>
          <w:szCs w:val="44"/>
          <w:lang w:eastAsia="zh-CN"/>
        </w:rPr>
        <w:t>修改版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为进一步深化工程建设项目招投标领域“放管服”改革，更好地贯彻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中华人民共和国招标投标</w:t>
      </w:r>
      <w:r>
        <w:rPr>
          <w:rFonts w:hint="eastAsia" w:ascii="仿宋_GB2312" w:hAnsi="仿宋_GB2312" w:cs="仿宋_GB2312"/>
          <w:color w:val="auto"/>
          <w:sz w:val="32"/>
          <w:szCs w:val="32"/>
          <w:lang w:val="en-US" w:eastAsia="zh-CN"/>
        </w:rPr>
        <w:t>法</w:t>
      </w:r>
      <w:bookmarkStart w:id="0" w:name="_GoBack"/>
      <w:bookmarkEnd w:id="0"/>
      <w:r>
        <w:rPr>
          <w:rFonts w:hint="eastAsia" w:ascii="仿宋_GB2312" w:hAnsi="仿宋_GB2312" w:eastAsia="仿宋_GB2312" w:cs="仿宋_GB2312"/>
          <w:color w:val="auto"/>
          <w:sz w:val="32"/>
          <w:szCs w:val="32"/>
          <w:lang w:val="en-US" w:eastAsia="zh-CN"/>
        </w:rPr>
        <w:t>实施条例》</w:t>
      </w:r>
      <w:r>
        <w:rPr>
          <w:rFonts w:hint="eastAsia" w:ascii="仿宋_GB2312" w:hAnsi="仿宋_GB2312" w:eastAsia="仿宋_GB2312" w:cs="仿宋_GB2312"/>
          <w:color w:val="auto"/>
          <w:sz w:val="32"/>
          <w:szCs w:val="32"/>
        </w:rPr>
        <w:t>《浙江省人民政府关于进一步加强工程建设项目招标投标领域依法治理的意见》（浙政发〔2021〕5号）、《温州市人民政府关于进一步规范工程建设项目招标投标活动的实施意见》（温政发〔2021〕11号）温州市</w:t>
      </w:r>
      <w:r>
        <w:rPr>
          <w:rFonts w:hint="eastAsia" w:ascii="仿宋_GB2312" w:hAnsi="仿宋_GB2312" w:eastAsia="仿宋_GB2312" w:cs="仿宋_GB2312"/>
          <w:color w:val="auto"/>
          <w:sz w:val="32"/>
          <w:szCs w:val="32"/>
          <w:lang w:val="en-US" w:eastAsia="zh-CN"/>
        </w:rPr>
        <w:t>建设工程“评定分离”定标工作导则</w:t>
      </w:r>
      <w:r>
        <w:rPr>
          <w:rFonts w:hint="eastAsia" w:ascii="仿宋_GB2312" w:hAnsi="仿宋_GB2312" w:eastAsia="仿宋_GB2312" w:cs="仿宋_GB2312"/>
          <w:color w:val="auto"/>
          <w:sz w:val="32"/>
          <w:szCs w:val="32"/>
        </w:rPr>
        <w:t>》（温政</w:t>
      </w:r>
      <w:r>
        <w:rPr>
          <w:rFonts w:hint="eastAsia" w:ascii="仿宋_GB2312" w:hAnsi="仿宋_GB2312" w:eastAsia="仿宋_GB2312" w:cs="仿宋_GB2312"/>
          <w:color w:val="auto"/>
          <w:sz w:val="32"/>
          <w:szCs w:val="32"/>
          <w:lang w:val="en-US" w:eastAsia="zh-CN"/>
        </w:rPr>
        <w:t>服</w:t>
      </w:r>
      <w:r>
        <w:rPr>
          <w:rFonts w:hint="eastAsia"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号）等文件精神，依照权责统一、规则公开、竞争择优的原则，合理运用“评定分离”评标方法和定标方法，实现招标项目“评优定优”的目标，落实招标人主体责任，制定本工作导则。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本导则适用于采用“评定分离”方式的依法必须</w:t>
      </w:r>
      <w:r>
        <w:rPr>
          <w:rFonts w:hint="eastAsia" w:ascii="仿宋_GB2312" w:hAnsi="仿宋_GB2312" w:eastAsia="仿宋_GB2312" w:cs="仿宋_GB2312"/>
          <w:b w:val="0"/>
          <w:bCs w:val="0"/>
          <w:color w:val="auto"/>
          <w:sz w:val="32"/>
          <w:szCs w:val="32"/>
          <w:lang w:val="en-US" w:eastAsia="zh-CN"/>
        </w:rPr>
        <w:t>公开</w:t>
      </w:r>
      <w:r>
        <w:rPr>
          <w:rFonts w:hint="eastAsia" w:ascii="仿宋_GB2312" w:hAnsi="仿宋_GB2312" w:eastAsia="仿宋_GB2312" w:cs="仿宋_GB2312"/>
          <w:color w:val="auto"/>
          <w:sz w:val="32"/>
          <w:szCs w:val="32"/>
        </w:rPr>
        <w:t>招标的下列工程建设项目：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val="en-US" w:eastAsia="zh-CN"/>
        </w:rPr>
        <w:t>房屋建筑工程（工程造价人民币壹亿以下）、市政公用工程、绿化园林景观工程（工程造价人民币陆仟万元以下）、装修装饰等工程、与工程有关的设备（工程造价人民币贰仟万元以下）、设计、造价咨询、监理等与工程有关的服务（服务金额在人民币陆百万元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en-US" w:eastAsia="zh-CN"/>
        </w:rPr>
        <w:t>符合上述标准</w:t>
      </w:r>
      <w:r>
        <w:rPr>
          <w:rFonts w:hint="eastAsia" w:ascii="仿宋_GB2312" w:hAnsi="仿宋_GB2312" w:eastAsia="仿宋_GB2312" w:cs="仿宋_GB2312"/>
          <w:color w:val="auto"/>
          <w:sz w:val="32"/>
          <w:szCs w:val="32"/>
        </w:rPr>
        <w:t>的施工、工程总承包项目，原则</w:t>
      </w:r>
      <w:r>
        <w:rPr>
          <w:rFonts w:hint="eastAsia" w:ascii="仿宋_GB2312" w:hAnsi="仿宋_GB2312" w:eastAsia="仿宋_GB2312" w:cs="仿宋_GB2312"/>
          <w:color w:val="auto"/>
          <w:sz w:val="32"/>
          <w:szCs w:val="32"/>
          <w:lang w:val="en-US" w:eastAsia="zh-CN"/>
        </w:rPr>
        <w:t>上提前3个工作日前向县公共资源交易管理委员会办公室提出申请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经批准后方可实施</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分离”是指把招投标程序中的“评标委员会评标”与“招标人定标”作为相对独立的两个环节进行分离。评标阶段的工作由招标人依法组建的评标委员会完成,定标阶段的工作由招标人自行组建的定标委员会完成。招标人采用“评定分离”方式招标的，应当在招标前确定相应的定标工作规则，并严格按照规则办事，不临时动议、不临时改变既定规则。招标人不再授权评标委员会直接确定中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标一般采用“优中选低，低中选优”的原则。“优中选低”是指对重大项目和技术比较复杂项目，在优质企业中选择一个投标报价相对较低的企业。“低中选优”是指对一般项目，在投标报价相对较低的投标人中选择一个优质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三、评标要求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标活动按照现行相关法律法规规定执行，评标方法和标准应当与不采用“评定分离”方式的一致。评标委员会应当根据招标文件规定的评标方法和标准对投标文件的价格、技术以及投标人的信用状况和履约能力等因素进行评审后，向招标人提出书面评标报告，推荐中标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评标可以采用定性评审或者定量评审的方式，也可以将两种方式组合使用，具体应当在招标文件中予以明确。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定性评审是指评标委员会依据评审因素对投标文件是否满足招标文件实质性要求进行定性评审，撰写评语，指出各投标文件中的优点和存在的缺陷、风险等评审情况和推荐理由，并对其价格、技术、质量、安全、工期的控制能力等提供技术咨询建议，记名投票推荐合格的中标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（二）定量评审是指评标委员会根据招标文件规定的评分细则，对投标文件中的各评审因素进行量化评分，推荐合格的中标候选人。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（三）“定性+定量”评审是指在评标因素中可以设置部分定量评审项，在合格基础上评价其优良程度，作为推荐中标候选人的依据。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（四）评标办法，按照《浙江省房屋建筑和市政基础设施施工招标文件示范文本（2021温州版）》执行。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四、定标方法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定标委员会应按“竞争和择优”、“优中选低、低中选优”以及扶持中小企业发展的原则采取以下方式确定中标人（具体定标方法必须在招标文件中明确）。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（一）集体议事法：由招标人组建定标委员会进行集体商议，定标委员会成员各发表意见并作书面记录（由定标委员会成员签字确认存档），由定标委员会组长最终确定中标人。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（二）票决定标法：定标委员会通过票决方式，按照少数服从多数的原则上确定1名中标人。投票时，定标委员会成员应采用记名方式并注明投票理由，按照招标文件规定的投票规则独立行使投票权。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（三）票决抽签定标法（适用于超过3名候选人）：定标委员会从进入定标程序的投标人中，先以单轮或多轮票决方式确定不少于3名中标候选人后，再以随机抽签方式最终确定中标候选人。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（四）逐轮票决定标（适用于超过3名候选人）：定标委员会成员根据定标因素对各定标候选人进行评审比较后，采取多轮投票的形式，逐轮推荐一定的数量的定标候选人进入下一轮票决，直至确定中标候选人。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（五）招标文件规定的其他定标方法。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五、择优要素</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（一）定标委员会在择优时可参考以下要素进行：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1.信用等级；</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2.投标价格；</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3.企业资质等级；</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4.近一年在工程所在地所交税收，企业产值，财政贡献度；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5.工程类似业绩(企业或项目经理）；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6.企业所获荣誉（各级政府或行业主管部门）；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7.对企业及项目班组（团队）的认可度，有关本地化服务等。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定标委员会在“择优”的</w:t>
      </w:r>
      <w:r>
        <w:rPr>
          <w:rFonts w:hint="eastAsia" w:ascii="仿宋_GB2312" w:hAnsi="仿宋_GB2312" w:eastAsia="仿宋_GB2312" w:cs="仿宋_GB2312"/>
          <w:color w:val="auto"/>
          <w:sz w:val="32"/>
          <w:szCs w:val="32"/>
          <w:lang w:eastAsia="zh-CN"/>
        </w:rPr>
        <w:t>同时也可进行“比劣”，“比劣”可参考以下等要素进行</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有无串通投标，围标，以行贿等不正当手段谋取中标行为；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有无挂靠，以他人名义投标，出让或者出租资格、资质证书供他人投标行为；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投标人或其法定代表人、企业负责人、拟派项目负责人有无行贿犯罪记录；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投标人在招标人的项目中有无严重违约或重大工程质量、安全问题；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投标人在我</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其他项目</w:t>
      </w:r>
      <w:r>
        <w:rPr>
          <w:rFonts w:hint="eastAsia" w:ascii="仿宋_GB2312" w:hAnsi="仿宋_GB2312" w:eastAsia="仿宋_GB2312" w:cs="仿宋_GB2312"/>
          <w:color w:val="auto"/>
          <w:sz w:val="32"/>
          <w:szCs w:val="32"/>
          <w:lang w:val="en-US" w:eastAsia="zh-CN"/>
        </w:rPr>
        <w:t>存在恶意拖欠民工工资，引发民工集体上访且造成一定社会影响或工作被动局面现象的。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在同等条件下，择优的相对标准</w:t>
      </w:r>
      <w:r>
        <w:rPr>
          <w:rFonts w:hint="eastAsia" w:ascii="仿宋_GB2312" w:hAnsi="仿宋_GB2312" w:eastAsia="仿宋_GB2312" w:cs="仿宋_GB2312"/>
          <w:color w:val="auto"/>
          <w:sz w:val="32"/>
          <w:szCs w:val="32"/>
          <w:lang w:val="en-US" w:eastAsia="zh-CN"/>
        </w:rPr>
        <w:t>可以参考</w:t>
      </w:r>
      <w:r>
        <w:rPr>
          <w:rFonts w:hint="eastAsia" w:ascii="仿宋_GB2312" w:hAnsi="仿宋_GB2312" w:eastAsia="仿宋_GB2312" w:cs="仿宋_GB2312"/>
          <w:color w:val="auto"/>
          <w:sz w:val="32"/>
          <w:szCs w:val="32"/>
        </w:rPr>
        <w:t>以下几个方面：</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资质高企业优于资质低企业；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2.经营产值</w:t>
      </w:r>
      <w:r>
        <w:rPr>
          <w:rFonts w:hint="eastAsia" w:ascii="仿宋_GB2312" w:hAnsi="仿宋_GB2312" w:eastAsia="仿宋_GB2312" w:cs="仿宋_GB2312"/>
          <w:color w:val="auto"/>
          <w:sz w:val="32"/>
          <w:szCs w:val="32"/>
        </w:rPr>
        <w:t>大</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企业优于</w:t>
      </w:r>
      <w:r>
        <w:rPr>
          <w:rFonts w:hint="eastAsia" w:ascii="仿宋_GB2312" w:hAnsi="仿宋_GB2312" w:eastAsia="仿宋_GB2312" w:cs="仿宋_GB2312"/>
          <w:color w:val="auto"/>
          <w:sz w:val="32"/>
          <w:szCs w:val="32"/>
          <w:lang w:val="en-US" w:eastAsia="zh-CN"/>
        </w:rPr>
        <w:t>经营产值</w:t>
      </w:r>
      <w:r>
        <w:rPr>
          <w:rFonts w:hint="eastAsia" w:ascii="仿宋_GB2312" w:hAnsi="仿宋_GB2312" w:eastAsia="仿宋_GB2312" w:cs="仿宋_GB2312"/>
          <w:color w:val="auto"/>
          <w:sz w:val="32"/>
          <w:szCs w:val="32"/>
        </w:rPr>
        <w:t>小</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3.项目经理业</w:t>
      </w:r>
      <w:r>
        <w:rPr>
          <w:rFonts w:hint="eastAsia" w:ascii="仿宋_GB2312" w:hAnsi="仿宋_GB2312" w:eastAsia="仿宋_GB2312" w:cs="仿宋_GB2312"/>
          <w:color w:val="auto"/>
          <w:sz w:val="32"/>
          <w:szCs w:val="32"/>
        </w:rPr>
        <w:t>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w:t>
      </w:r>
      <w:r>
        <w:rPr>
          <w:rFonts w:hint="eastAsia" w:ascii="仿宋_GB2312" w:hAnsi="仿宋_GB2312" w:eastAsia="仿宋_GB2312" w:cs="仿宋_GB2312"/>
          <w:color w:val="auto"/>
          <w:sz w:val="32"/>
          <w:szCs w:val="32"/>
          <w:lang w:val="en-US" w:eastAsia="zh-CN"/>
        </w:rPr>
        <w:t>优秀</w:t>
      </w:r>
      <w:r>
        <w:rPr>
          <w:rFonts w:hint="eastAsia" w:ascii="仿宋_GB2312" w:hAnsi="仿宋_GB2312" w:eastAsia="仿宋_GB2312" w:cs="仿宋_GB2312"/>
          <w:color w:val="auto"/>
          <w:sz w:val="32"/>
          <w:szCs w:val="32"/>
        </w:rPr>
        <w:t>的企业优于</w:t>
      </w:r>
      <w:r>
        <w:rPr>
          <w:rFonts w:hint="eastAsia" w:ascii="仿宋_GB2312" w:hAnsi="仿宋_GB2312" w:eastAsia="仿宋_GB2312" w:cs="仿宋_GB2312"/>
          <w:color w:val="auto"/>
          <w:sz w:val="32"/>
          <w:szCs w:val="32"/>
          <w:lang w:val="en-US" w:eastAsia="zh-CN"/>
        </w:rPr>
        <w:t>项目经理</w:t>
      </w:r>
      <w:r>
        <w:rPr>
          <w:rFonts w:hint="eastAsia" w:ascii="仿宋_GB2312" w:hAnsi="仿宋_GB2312" w:eastAsia="仿宋_GB2312" w:cs="仿宋_GB2312"/>
          <w:color w:val="auto"/>
          <w:sz w:val="32"/>
          <w:szCs w:val="32"/>
        </w:rPr>
        <w:t>业绩相对简单、难度较小的企业；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履约评价好企业优于履约评价差企业或者投标人在招标人之前的工程中的履约评价；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无不良行为记录企业优于有不良行为记录企业，不良行为记录较轻企业优于不良行为记录较重企业；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已有履约记录且没有履约评价不合格企业优先于没有履约企业；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7.在入围单位中相对符合择优要素条件的，优先考虑报价最低的投标企业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、定标前准备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定标会议，原则上应当在评标委员会评审结束后次日，在当地公共资源交易中心召开。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对于技术特别复杂、设计有特殊要求的项目，</w:t>
      </w:r>
      <w:r>
        <w:rPr>
          <w:rFonts w:hint="eastAsia" w:ascii="仿宋_GB2312" w:hAnsi="仿宋_GB2312" w:eastAsia="仿宋_GB2312" w:cs="仿宋_GB2312"/>
          <w:color w:val="auto"/>
          <w:sz w:val="32"/>
          <w:szCs w:val="32"/>
        </w:rPr>
        <w:t>招标人在定标会议召开前，根据实际情况，认为需要对推荐的中标候选人的情况、优势、风险等内容进行对比分析及对推荐的中标候选人和拟派的项目负责人进行考察的，应当组建3人及以上考察组对所有推荐的中标候选人和拟派的项目负责人进行考察，出具考察报告作为定标辅助材料，并应当在招标文件中明确。招标人可以自收到评标报告之日起7日内，在当</w:t>
      </w:r>
      <w:r>
        <w:rPr>
          <w:rFonts w:hint="eastAsia" w:ascii="仿宋_GB2312" w:hAnsi="仿宋_GB2312" w:eastAsia="仿宋_GB2312" w:cs="仿宋_GB2312"/>
          <w:color w:val="auto"/>
          <w:sz w:val="32"/>
          <w:szCs w:val="32"/>
          <w:lang w:val="en-US" w:eastAsia="zh-CN"/>
        </w:rPr>
        <w:t>在具备录音录像、全程监控的地方</w:t>
      </w:r>
      <w:r>
        <w:rPr>
          <w:rFonts w:hint="eastAsia" w:ascii="仿宋_GB2312" w:hAnsi="仿宋_GB2312" w:eastAsia="仿宋_GB2312" w:cs="仿宋_GB2312"/>
          <w:color w:val="auto"/>
          <w:sz w:val="32"/>
          <w:szCs w:val="32"/>
        </w:rPr>
        <w:t>召开定标会议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并保持好相关资料</w:t>
      </w:r>
      <w:r>
        <w:rPr>
          <w:rFonts w:hint="eastAsia" w:ascii="仿宋_GB2312" w:hAnsi="仿宋_GB2312" w:eastAsia="仿宋_GB2312" w:cs="仿宋_GB2312"/>
          <w:color w:val="auto"/>
          <w:sz w:val="32"/>
          <w:szCs w:val="32"/>
        </w:rPr>
        <w:t>。考察报告中不得有明示或者暗示中标单位的内容，考察人员不得担任本项目的定标委员会成员。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、组建定标委员会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b w:val="0"/>
          <w:bCs w:val="0"/>
          <w:color w:val="auto"/>
          <w:sz w:val="32"/>
          <w:szCs w:val="32"/>
        </w:rPr>
        <w:t>招标人负责组建定标委员会，成员一般为7人及以上单数，</w:t>
      </w:r>
      <w:r>
        <w:rPr>
          <w:rFonts w:hint="eastAsia" w:ascii="仿宋_GB2312" w:hAnsi="仿宋_GB2312" w:eastAsia="仿宋_GB2312" w:cs="仿宋_GB2312"/>
          <w:b w:val="0"/>
          <w:bCs w:val="0"/>
          <w:color w:val="auto"/>
          <w:sz w:val="32"/>
          <w:szCs w:val="32"/>
          <w:lang w:eastAsia="zh-CN"/>
        </w:rPr>
        <w:t>原则上最多不超过</w:t>
      </w:r>
      <w:r>
        <w:rPr>
          <w:rFonts w:hint="eastAsia" w:ascii="仿宋_GB2312" w:hAnsi="仿宋_GB2312" w:eastAsia="仿宋_GB2312" w:cs="仿宋_GB2312"/>
          <w:b w:val="0"/>
          <w:bCs w:val="0"/>
          <w:color w:val="auto"/>
          <w:sz w:val="32"/>
          <w:szCs w:val="32"/>
          <w:lang w:val="en-US" w:eastAsia="zh-CN"/>
        </w:rPr>
        <w:t>11人，</w:t>
      </w:r>
      <w:r>
        <w:rPr>
          <w:rFonts w:hint="eastAsia" w:ascii="仿宋_GB2312" w:hAnsi="仿宋_GB2312" w:eastAsia="仿宋_GB2312" w:cs="仿宋_GB2312"/>
          <w:color w:val="auto"/>
          <w:sz w:val="32"/>
          <w:szCs w:val="32"/>
        </w:rPr>
        <w:t>原则上从招标人组建的定标委员会成员备选库中随机产生。定标委员会成员名单在定标会议结束前应当保密。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（二）招标人应当组建定标委员会成员备选库，可以由下列人员组成：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1.招标人（包括建设单位、代建单位、使用单位）的领导班子成员、经营管理成员、工程技术（经济）人员；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2.财政性资金投资工程项目的招标人所在系统内上下级主管部门或者系统外相关部门工作人员；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3.非财政性国有资金投资工程项目的招标人母公司（集团）、子公司（分公司）人员。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（三）招标人本单位人员技术力量不足的，可以外聘本专业或者本地区范围内有知名度、权威性的专业人员；也可从浙江省综合性评标专家库</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相关监管部门设立的专家库中随机抽取。外聘专家人数原则上不得超过定标委员会总人数的三分之一，招标人对外聘专家的定标行为负责。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定标委员会应当在定标会上推荐定标组长，原则上由招标人的法定代表人或者主要负责人担任。定标委员会成员与进入定标环节投标人有利害关系的，应当主动申请回避。该项目的评标委员会成员不得再参加定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（五）定标委员会成员不得与任何中标候选人或者与招标结果有利害关系的人进行私下接触,不得收受中标候选人、中介人、其他利害关系人的财物或者其他好处,不得向其他成员征询其确定中标人的意向。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shd w:val="clear" w:color="auto" w:fill="auto"/>
          <w:lang w:val="en-US" w:eastAsia="zh-CN"/>
        </w:rPr>
      </w:pPr>
      <w:r>
        <w:rPr>
          <w:rFonts w:hint="eastAsia" w:ascii="仿宋_GB2312" w:hAnsi="仿宋_GB2312" w:eastAsia="仿宋_GB2312" w:cs="仿宋_GB2312"/>
          <w:b w:val="0"/>
          <w:bCs w:val="0"/>
          <w:color w:val="auto"/>
          <w:sz w:val="32"/>
          <w:szCs w:val="32"/>
          <w:u w:val="none"/>
          <w:shd w:val="clear" w:color="auto" w:fill="auto"/>
          <w:lang w:eastAsia="zh-CN"/>
        </w:rPr>
        <w:t>（六）定标委员会外聘专家收取专家费，按工程项目预算造价分为</w:t>
      </w:r>
      <w:r>
        <w:rPr>
          <w:rFonts w:hint="eastAsia" w:ascii="仿宋_GB2312" w:hAnsi="仿宋_GB2312" w:eastAsia="仿宋_GB2312" w:cs="仿宋_GB2312"/>
          <w:b w:val="0"/>
          <w:bCs w:val="0"/>
          <w:color w:val="auto"/>
          <w:sz w:val="32"/>
          <w:szCs w:val="32"/>
          <w:u w:val="none"/>
          <w:shd w:val="clear" w:color="auto" w:fill="auto"/>
          <w:lang w:val="en-US" w:eastAsia="zh-CN"/>
        </w:rPr>
        <w:t>6000万以下项目收取500元每次，6000万以上项目收取800元每次。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、定标会议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（一）招标人在定标会议开始时可以向定标委员会介绍项目情况、招标情况、评标情况以及对中标候选人的考察情况。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（二）定标委员会成员有疑问的，可以向招标人进行提问。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（三）招标人向定标委员会反馈的信息中不得有明示或者暗示中标单位的内容。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（四）定标委员会成员的提问应当在定标会议上提出，招标人应当在定标会议现场作出答复，由招标代理机构做好书面记录，并由提问人和答复人在书面记录上签字。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（五）提问和答复不得改变招标文件、投标文件和评标的实质性内容。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（六）招标人应当派监督人员或者组建监督小组对现场定标全过程进行监督。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（七）招标人应当对定标过程进行记录，并存档备查。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、评标、定标结果公示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中标候选人数量。</w:t>
      </w:r>
      <w:r>
        <w:rPr>
          <w:rFonts w:hint="eastAsia" w:ascii="仿宋_GB2312" w:hAnsi="仿宋_GB2312" w:eastAsia="仿宋_GB2312" w:cs="仿宋_GB2312"/>
          <w:b w:val="0"/>
          <w:bCs w:val="0"/>
          <w:color w:val="auto"/>
          <w:sz w:val="32"/>
          <w:szCs w:val="32"/>
        </w:rPr>
        <w:t>一般由评标委员会向招标人推荐</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3-5）</w:t>
      </w:r>
      <w:r>
        <w:rPr>
          <w:rFonts w:hint="eastAsia" w:ascii="仿宋_GB2312" w:hAnsi="仿宋_GB2312" w:eastAsia="仿宋_GB2312" w:cs="仿宋_GB2312"/>
          <w:b w:val="0"/>
          <w:bCs w:val="0"/>
          <w:color w:val="auto"/>
          <w:sz w:val="32"/>
          <w:szCs w:val="32"/>
        </w:rPr>
        <w:t>名不排序合格的中标候选人。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标结束后，招标人应当在规定的时间内同时将评标结果和定标结果在当地公共资源交易网上公示，公示期不得少于3日。中标人公示应当载明中标人的名称、投标价格、质量、工期、资格条件、业绩、项目负责人、定标时间、定标理由、提出异议和投诉的渠道和方式，以及法律法规和招标文件规定公示的其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、异议与投诉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投标人或者其他利害关系人对评标结果、定标结果有异议的，应当在公示期间提出。对定标结果异议和投诉的提出和处理，适用有关法律法规。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公示的中标人存在以下情形之一的，采用原定标办法，</w:t>
      </w:r>
      <w:r>
        <w:rPr>
          <w:rFonts w:hint="eastAsia" w:ascii="仿宋_GB2312" w:hAnsi="仿宋_GB2312" w:eastAsia="仿宋_GB2312" w:cs="仿宋_GB2312"/>
          <w:b w:val="0"/>
          <w:bCs w:val="0"/>
          <w:color w:val="auto"/>
          <w:sz w:val="32"/>
          <w:szCs w:val="32"/>
        </w:rPr>
        <w:t>由原定标委员会在剩余的中标候选人名单中确定新的中标人，</w:t>
      </w:r>
      <w:r>
        <w:rPr>
          <w:rFonts w:hint="eastAsia" w:ascii="仿宋_GB2312" w:hAnsi="仿宋_GB2312" w:eastAsia="仿宋_GB2312" w:cs="仿宋_GB2312"/>
          <w:color w:val="auto"/>
          <w:sz w:val="32"/>
          <w:szCs w:val="32"/>
        </w:rPr>
        <w:t>也可以重新招标：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（一）因异议、投诉查实被取消中标资格的；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（二）中标人放弃中标、因不可抗力不能履行合同的；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（三）不按照招标文件要求提交履约担保的；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（四）被查实存在影响中标结果的违法行为。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rPr>
        <w:t>、监督与管理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招标人应当强化责任意识、法治意识，对整个招标和定标过程负责。招标人应当建立完善的定标机制和内部管控制度，不得明示或者暗示定标委员会成员指定中标人。招标人应当对定标委员会成员及其定标行为、定标结果承担责任。定标委员会应当客观、公正地履行职责,严格按照招标文件规定的定标办法和程序定标,对所提出的定标意见承担个人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招标人应当将定标办法、定标人员库组建、定标委员会确定及定标程序等纳入“三重一大”事项，发现涉嫌违纪或者职务违法行为的，应当及时移送纪检监察机关处置；涉嫌犯罪的，依法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（三）招投标监管部门应当加强招投标各阶段的监督，规范招标行为，严格招标文件备案管理，规范招标文件编制。</w:t>
      </w:r>
      <w:r>
        <w:rPr>
          <w:rFonts w:hint="eastAsia" w:ascii="仿宋_GB2312" w:hAnsi="仿宋_GB2312" w:eastAsia="仿宋_GB2312" w:cs="仿宋_GB2312"/>
          <w:color w:val="auto"/>
          <w:sz w:val="32"/>
          <w:szCs w:val="32"/>
          <w:lang w:val="en-US" w:eastAsia="zh-CN"/>
        </w:rPr>
        <w:t>招标人必须将定标会议的</w:t>
      </w:r>
      <w:r>
        <w:rPr>
          <w:rFonts w:hint="eastAsia" w:ascii="仿宋_GB2312" w:hAnsi="仿宋_GB2312" w:eastAsia="仿宋_GB2312" w:cs="仿宋_GB2312"/>
          <w:color w:val="auto"/>
          <w:sz w:val="32"/>
          <w:szCs w:val="32"/>
        </w:rPr>
        <w:t>全程记录评标与定标的语音视频内容做好归档、备查工作。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招投标监管部门应当加强招标市场和施工现场“两场”联动，可以采用随机抽查和定向检查相结合的方式，对招标“评定分离”工作和招标效果进行检查评估，加大“评定分离”项目的事中事后监管，确保“评定分离”工作稳步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十二、其他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（一）本导则未明确事宜，按照《中华人民共和国招标投标法》及其实施条例、《浙江省招标投标条例》和浙江省、平阳县有关规范性文件规定执行。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shd w:val="clear" w:color="auto" w:fill="auto"/>
          <w:lang w:val="en-US" w:eastAsia="zh-CN"/>
        </w:rPr>
      </w:pPr>
      <w:r>
        <w:rPr>
          <w:rFonts w:hint="eastAsia" w:ascii="仿宋_GB2312" w:hAnsi="仿宋_GB2312" w:eastAsia="仿宋_GB2312" w:cs="仿宋_GB2312"/>
          <w:b w:val="0"/>
          <w:bCs w:val="0"/>
          <w:color w:val="auto"/>
          <w:sz w:val="32"/>
          <w:szCs w:val="32"/>
          <w:u w:val="none"/>
          <w:shd w:val="clear" w:color="auto" w:fill="auto"/>
          <w:lang w:eastAsia="zh-CN"/>
        </w:rPr>
        <w:t>（二）采用本定标方法的项目，招标代理费及造价咨询费合并在工程费用中列支，费率计取依据采用浙江省建设工程造价管理协会发布的浙建价协</w:t>
      </w:r>
      <w:r>
        <w:rPr>
          <w:rFonts w:hint="eastAsia" w:ascii="仿宋_GB2312" w:hAnsi="仿宋_GB2312" w:eastAsia="仿宋_GB2312" w:cs="仿宋_GB2312"/>
          <w:color w:val="auto"/>
          <w:sz w:val="32"/>
          <w:szCs w:val="32"/>
        </w:rPr>
        <w:t>〔2021〕</w:t>
      </w:r>
      <w:r>
        <w:rPr>
          <w:rFonts w:hint="eastAsia" w:ascii="仿宋_GB2312" w:hAnsi="仿宋_GB2312" w:eastAsia="仿宋_GB2312" w:cs="仿宋_GB2312"/>
          <w:b w:val="0"/>
          <w:bCs w:val="0"/>
          <w:color w:val="auto"/>
          <w:sz w:val="32"/>
          <w:szCs w:val="32"/>
          <w:u w:val="none"/>
          <w:shd w:val="clear" w:color="auto" w:fill="auto"/>
          <w:lang w:val="en-US" w:eastAsia="zh-CN"/>
        </w:rPr>
        <w:t>13号文件《浙江省建设工程造价咨询服务项目及收费指引》及温州市公共资源交易协会发布的</w:t>
      </w:r>
      <w:r>
        <w:rPr>
          <w:rFonts w:hint="eastAsia" w:ascii="仿宋_GB2312" w:hAnsi="仿宋_GB2312" w:eastAsia="仿宋_GB2312" w:cs="仿宋_GB2312"/>
          <w:b w:val="0"/>
          <w:bCs w:val="0"/>
          <w:color w:val="auto"/>
          <w:sz w:val="32"/>
          <w:szCs w:val="32"/>
          <w:u w:val="none"/>
          <w:shd w:val="clear" w:color="auto" w:fill="auto"/>
          <w:lang w:eastAsia="zh-CN"/>
        </w:rPr>
        <w:t>温协</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u w:val="none"/>
          <w:shd w:val="clear" w:color="auto" w:fill="auto"/>
          <w:lang w:val="en-US" w:eastAsia="zh-CN"/>
        </w:rPr>
        <w:t>20号文件《温州市招标代理费取费指引》。</w:t>
      </w:r>
    </w:p>
    <w:p>
      <w:pPr>
        <w:pStyle w:val="2"/>
        <w:rPr>
          <w:rFonts w:hint="eastAsia"/>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水利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交通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矿山</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电力等其他政府投资建设工程如有需要也可参照执行</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本导则</w:t>
      </w:r>
      <w:r>
        <w:rPr>
          <w:rFonts w:hint="eastAsia" w:ascii="仿宋_GB2312" w:hAnsi="仿宋_GB2312" w:eastAsia="仿宋_GB2312" w:cs="仿宋_GB2312"/>
          <w:b w:val="0"/>
          <w:bCs w:val="0"/>
          <w:color w:val="auto"/>
          <w:sz w:val="32"/>
          <w:szCs w:val="32"/>
          <w:lang w:val="en-US" w:eastAsia="zh-CN"/>
        </w:rPr>
        <w:t>由县公共资源交易管理委员会负责解释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本导则</w:t>
      </w:r>
      <w:r>
        <w:rPr>
          <w:rFonts w:hint="eastAsia" w:ascii="仿宋_GB2312" w:hAnsi="仿宋_GB2312" w:eastAsia="仿宋_GB2312" w:cs="仿宋_GB2312"/>
          <w:b w:val="0"/>
          <w:bCs w:val="0"/>
          <w:color w:val="auto"/>
          <w:sz w:val="32"/>
          <w:szCs w:val="32"/>
        </w:rPr>
        <w:t>自发布之日起</w:t>
      </w:r>
      <w:r>
        <w:rPr>
          <w:rFonts w:hint="eastAsia" w:ascii="仿宋_GB2312" w:hAnsi="仿宋_GB2312" w:eastAsia="仿宋_GB2312" w:cs="仿宋_GB2312"/>
          <w:b w:val="0"/>
          <w:bCs w:val="0"/>
          <w:color w:val="auto"/>
          <w:sz w:val="32"/>
          <w:szCs w:val="32"/>
          <w:lang w:val="en-US" w:eastAsia="zh-CN"/>
        </w:rPr>
        <w:t>试</w:t>
      </w:r>
      <w:r>
        <w:rPr>
          <w:rFonts w:hint="eastAsia" w:ascii="仿宋_GB2312" w:hAnsi="仿宋_GB2312" w:eastAsia="仿宋_GB2312" w:cs="仿宋_GB2312"/>
          <w:b w:val="0"/>
          <w:bCs w:val="0"/>
          <w:color w:val="auto"/>
          <w:sz w:val="32"/>
          <w:szCs w:val="32"/>
        </w:rPr>
        <w:t>行。</w:t>
      </w:r>
    </w:p>
    <w:p>
      <w:pPr>
        <w:ind w:left="0" w:leftChars="0" w:firstLine="0" w:firstLineChars="0"/>
        <w:jc w:val="both"/>
        <w:rPr>
          <w:rFonts w:hint="eastAsia" w:ascii="仿宋_GB2312" w:hAnsi="仿宋_GB2312" w:eastAsia="仿宋_GB2312" w:cs="仿宋_GB2312"/>
          <w:color w:val="333333"/>
          <w:sz w:val="32"/>
          <w:szCs w:val="32"/>
          <w:lang w:val="en-US" w:eastAsia="zh-CN"/>
        </w:rPr>
      </w:pPr>
    </w:p>
    <w:p>
      <w:pPr>
        <w:widowControl/>
        <w:spacing w:line="600" w:lineRule="exact"/>
        <w:ind w:left="0" w:leftChars="0" w:firstLine="0" w:firstLineChars="0"/>
        <w:jc w:val="left"/>
      </w:pPr>
      <w:r>
        <w:rPr>
          <w:rFonts w:hint="eastAsia" w:ascii="黑体" w:hAnsi="黑体" w:eastAsia="黑体"/>
          <w:sz w:val="32"/>
          <w:szCs w:val="32"/>
        </w:rPr>
        <w:t>附件</w:t>
      </w:r>
      <w:r>
        <w:rPr>
          <w:rFonts w:ascii="黑体" w:hAnsi="黑体" w:eastAsia="黑体"/>
          <w:sz w:val="32"/>
          <w:szCs w:val="32"/>
        </w:rPr>
        <w:t>2</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征求意见反馈单</w:t>
      </w:r>
    </w:p>
    <w:p>
      <w:pPr>
        <w:snapToGrid w:val="0"/>
        <w:spacing w:line="600" w:lineRule="exact"/>
        <w:jc w:val="center"/>
        <w:rPr>
          <w:szCs w:val="21"/>
        </w:rPr>
      </w:pPr>
    </w:p>
    <w:tbl>
      <w:tblPr>
        <w:tblStyle w:val="10"/>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3267"/>
        <w:gridCol w:w="1516"/>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1396" w:type="dxa"/>
            <w:vAlign w:val="center"/>
          </w:tcPr>
          <w:p>
            <w:pPr>
              <w:ind w:left="0" w:leftChars="0" w:firstLine="0" w:firstLineChars="0"/>
              <w:jc w:val="both"/>
              <w:rPr>
                <w:rFonts w:ascii="仿宋_GB2312" w:eastAsia="仿宋_GB2312"/>
                <w:sz w:val="28"/>
                <w:szCs w:val="28"/>
              </w:rPr>
            </w:pPr>
            <w:r>
              <w:rPr>
                <w:rFonts w:hint="eastAsia" w:ascii="仿宋_GB2312" w:eastAsia="仿宋_GB2312"/>
                <w:kern w:val="0"/>
                <w:sz w:val="28"/>
                <w:szCs w:val="28"/>
              </w:rPr>
              <w:t>文稿标题</w:t>
            </w:r>
          </w:p>
        </w:tc>
        <w:tc>
          <w:tcPr>
            <w:tcW w:w="7359" w:type="dxa"/>
            <w:gridSpan w:val="3"/>
            <w:vAlign w:val="center"/>
          </w:tcPr>
          <w:p>
            <w:pPr>
              <w:topLinePunct/>
              <w:spacing w:line="560" w:lineRule="exact"/>
              <w:ind w:left="0" w:leftChars="0" w:firstLine="0" w:firstLineChars="0"/>
              <w:jc w:val="center"/>
              <w:textAlignment w:val="baseline"/>
              <w:rPr>
                <w:rFonts w:ascii="楷体_GB2312" w:eastAsia="楷体_GB2312"/>
                <w:color w:val="000000"/>
                <w:kern w:val="0"/>
                <w:sz w:val="32"/>
                <w:szCs w:val="32"/>
                <w:u w:color="000000"/>
              </w:rPr>
            </w:pPr>
            <w:r>
              <w:rPr>
                <w:rFonts w:hint="eastAsia" w:ascii="楷体_GB2312" w:eastAsia="楷体_GB2312"/>
                <w:color w:val="000000"/>
                <w:kern w:val="0"/>
                <w:sz w:val="32"/>
                <w:szCs w:val="32"/>
                <w:u w:color="000000"/>
              </w:rPr>
              <w:t>关于《平阳县工程建设项目“评定分离”定标工作导则征求意见稿（试行）修改版》反馈意见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1396" w:type="dxa"/>
            <w:vAlign w:val="center"/>
          </w:tcPr>
          <w:p>
            <w:pPr>
              <w:ind w:left="0" w:leftChars="0" w:firstLine="0" w:firstLineChars="0"/>
              <w:jc w:val="both"/>
              <w:rPr>
                <w:rFonts w:ascii="仿宋_GB2312" w:eastAsia="仿宋_GB2312"/>
                <w:kern w:val="0"/>
                <w:sz w:val="28"/>
                <w:szCs w:val="28"/>
              </w:rPr>
            </w:pPr>
            <w:r>
              <w:rPr>
                <w:rFonts w:hint="eastAsia" w:ascii="仿宋_GB2312" w:eastAsia="仿宋_GB2312"/>
                <w:kern w:val="0"/>
                <w:sz w:val="28"/>
                <w:szCs w:val="28"/>
              </w:rPr>
              <w:t>接收单位</w:t>
            </w:r>
          </w:p>
        </w:tc>
        <w:tc>
          <w:tcPr>
            <w:tcW w:w="3267" w:type="dxa"/>
            <w:vAlign w:val="center"/>
          </w:tcPr>
          <w:p>
            <w:pPr>
              <w:ind w:left="0" w:leftChars="0" w:firstLine="0" w:firstLineChars="0"/>
              <w:jc w:val="both"/>
              <w:rPr>
                <w:rFonts w:hint="eastAsia" w:ascii="仿宋_GB2312" w:hAnsi="宋体" w:eastAsia="仿宋_GB2312"/>
                <w:sz w:val="28"/>
                <w:szCs w:val="28"/>
                <w:lang w:eastAsia="zh-CN"/>
              </w:rPr>
            </w:pPr>
            <w:r>
              <w:rPr>
                <w:rFonts w:hint="eastAsia" w:ascii="仿宋_GB2312" w:hAnsi="宋体"/>
                <w:sz w:val="28"/>
                <w:szCs w:val="28"/>
                <w:lang w:eastAsia="zh-CN"/>
              </w:rPr>
              <w:t>县公共资源交易管理委员会办公室</w:t>
            </w:r>
          </w:p>
        </w:tc>
        <w:tc>
          <w:tcPr>
            <w:tcW w:w="1516" w:type="dxa"/>
            <w:vAlign w:val="center"/>
          </w:tcPr>
          <w:p>
            <w:pPr>
              <w:ind w:left="0" w:leftChars="0" w:firstLine="0" w:firstLineChars="0"/>
              <w:jc w:val="both"/>
              <w:rPr>
                <w:rFonts w:ascii="仿宋_GB2312" w:hAnsi="宋体" w:eastAsia="仿宋_GB2312"/>
                <w:sz w:val="28"/>
                <w:szCs w:val="28"/>
              </w:rPr>
            </w:pPr>
            <w:r>
              <w:rPr>
                <w:rFonts w:hint="eastAsia" w:ascii="仿宋_GB2312" w:hAnsi="宋体" w:eastAsia="仿宋_GB2312"/>
                <w:sz w:val="28"/>
                <w:szCs w:val="28"/>
              </w:rPr>
              <w:t>传出时间</w:t>
            </w:r>
          </w:p>
        </w:tc>
        <w:tc>
          <w:tcPr>
            <w:tcW w:w="2576" w:type="dxa"/>
            <w:vAlign w:val="center"/>
          </w:tcPr>
          <w:p>
            <w:pPr>
              <w:rPr>
                <w:rFonts w:hint="default" w:ascii="仿宋_GB2312" w:hAnsi="宋体" w:eastAsia="仿宋_GB2312"/>
                <w:sz w:val="24"/>
                <w:lang w:val="en-US" w:eastAsia="zh-CN"/>
              </w:rPr>
            </w:pPr>
            <w:r>
              <w:rPr>
                <w:rFonts w:hint="eastAsia" w:ascii="仿宋_GB2312" w:hAnsi="宋体"/>
                <w:sz w:val="24"/>
                <w:lang w:val="en-US" w:eastAsia="zh-CN"/>
              </w:rPr>
              <w:t>2022年2月23日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0" w:hRule="atLeast"/>
          <w:jc w:val="center"/>
        </w:trPr>
        <w:tc>
          <w:tcPr>
            <w:tcW w:w="1396" w:type="dxa"/>
            <w:vAlign w:val="center"/>
          </w:tcPr>
          <w:p>
            <w:pPr>
              <w:ind w:left="0" w:leftChars="0" w:firstLine="0" w:firstLineChars="0"/>
              <w:jc w:val="both"/>
              <w:rPr>
                <w:rFonts w:ascii="仿宋_GB2312" w:eastAsia="仿宋_GB2312"/>
                <w:sz w:val="28"/>
                <w:szCs w:val="28"/>
              </w:rPr>
            </w:pPr>
            <w:r>
              <w:rPr>
                <w:rFonts w:hint="eastAsia" w:ascii="仿宋_GB2312" w:eastAsia="仿宋_GB2312"/>
                <w:sz w:val="28"/>
                <w:szCs w:val="28"/>
              </w:rPr>
              <w:t>反馈意见</w:t>
            </w:r>
          </w:p>
        </w:tc>
        <w:tc>
          <w:tcPr>
            <w:tcW w:w="7359" w:type="dxa"/>
            <w:gridSpan w:val="3"/>
            <w:vAlign w:val="center"/>
          </w:tcPr>
          <w:p>
            <w:pPr>
              <w:spacing w:line="400" w:lineRule="exact"/>
              <w:jc w:val="right"/>
              <w:rPr>
                <w:rFonts w:ascii="仿宋_GB2312" w:hAnsi="宋体" w:eastAsia="仿宋_GB2312"/>
                <w:sz w:val="28"/>
                <w:szCs w:val="28"/>
              </w:rPr>
            </w:pPr>
          </w:p>
          <w:p>
            <w:pPr>
              <w:spacing w:line="400" w:lineRule="exact"/>
              <w:jc w:val="right"/>
              <w:rPr>
                <w:rFonts w:ascii="仿宋_GB2312" w:hAnsi="宋体" w:eastAsia="仿宋_GB2312"/>
                <w:sz w:val="28"/>
                <w:szCs w:val="28"/>
              </w:rPr>
            </w:pPr>
          </w:p>
          <w:p>
            <w:pPr>
              <w:spacing w:line="400" w:lineRule="exact"/>
              <w:jc w:val="right"/>
              <w:rPr>
                <w:rFonts w:ascii="仿宋_GB2312" w:hAnsi="宋体" w:eastAsia="仿宋_GB2312"/>
                <w:sz w:val="28"/>
                <w:szCs w:val="28"/>
              </w:rPr>
            </w:pPr>
          </w:p>
          <w:p>
            <w:pPr>
              <w:spacing w:line="400" w:lineRule="exact"/>
              <w:jc w:val="right"/>
              <w:rPr>
                <w:rFonts w:ascii="仿宋_GB2312" w:hAnsi="宋体" w:eastAsia="仿宋_GB2312"/>
                <w:sz w:val="28"/>
                <w:szCs w:val="28"/>
              </w:rPr>
            </w:pPr>
          </w:p>
          <w:p>
            <w:pPr>
              <w:spacing w:line="400" w:lineRule="exact"/>
              <w:jc w:val="right"/>
              <w:rPr>
                <w:rFonts w:ascii="仿宋_GB2312" w:hAnsi="宋体" w:eastAsia="仿宋_GB2312"/>
                <w:sz w:val="28"/>
                <w:szCs w:val="28"/>
              </w:rPr>
            </w:pPr>
          </w:p>
          <w:p>
            <w:pPr>
              <w:spacing w:line="400" w:lineRule="exact"/>
              <w:jc w:val="right"/>
              <w:rPr>
                <w:rFonts w:ascii="仿宋_GB2312" w:hAnsi="宋体" w:eastAsia="仿宋_GB2312"/>
                <w:sz w:val="28"/>
                <w:szCs w:val="28"/>
              </w:rPr>
            </w:pPr>
          </w:p>
          <w:p>
            <w:pPr>
              <w:spacing w:line="400" w:lineRule="exact"/>
              <w:jc w:val="right"/>
              <w:rPr>
                <w:rFonts w:ascii="仿宋_GB2312" w:hAnsi="宋体" w:eastAsia="仿宋_GB2312"/>
                <w:sz w:val="28"/>
                <w:szCs w:val="28"/>
              </w:rPr>
            </w:pPr>
          </w:p>
          <w:p>
            <w:pPr>
              <w:spacing w:line="400" w:lineRule="exact"/>
              <w:jc w:val="right"/>
              <w:rPr>
                <w:rFonts w:ascii="仿宋_GB2312" w:hAnsi="宋体" w:eastAsia="仿宋_GB2312"/>
                <w:sz w:val="28"/>
                <w:szCs w:val="28"/>
              </w:rPr>
            </w:pPr>
          </w:p>
          <w:p>
            <w:pPr>
              <w:spacing w:line="400" w:lineRule="exact"/>
              <w:jc w:val="right"/>
              <w:rPr>
                <w:rFonts w:ascii="仿宋_GB2312" w:hAnsi="宋体" w:eastAsia="仿宋_GB2312"/>
                <w:sz w:val="28"/>
                <w:szCs w:val="28"/>
              </w:rPr>
            </w:pPr>
          </w:p>
          <w:p>
            <w:pPr>
              <w:spacing w:line="400" w:lineRule="exact"/>
              <w:jc w:val="right"/>
              <w:rPr>
                <w:rFonts w:ascii="仿宋_GB2312" w:hAnsi="宋体" w:eastAsia="仿宋_GB2312"/>
                <w:sz w:val="28"/>
                <w:szCs w:val="28"/>
              </w:rPr>
            </w:pPr>
          </w:p>
          <w:p>
            <w:pPr>
              <w:spacing w:line="400" w:lineRule="exact"/>
              <w:jc w:val="right"/>
              <w:rPr>
                <w:rFonts w:ascii="仿宋_GB2312" w:hAnsi="宋体" w:eastAsia="仿宋_GB2312"/>
                <w:sz w:val="28"/>
                <w:szCs w:val="28"/>
              </w:rPr>
            </w:pPr>
            <w:r>
              <w:rPr>
                <w:rFonts w:ascii="仿宋_GB2312" w:hAnsi="宋体" w:eastAsia="仿宋_GB2312"/>
                <w:sz w:val="28"/>
                <w:szCs w:val="28"/>
              </w:rPr>
              <w:t xml:space="preserve">                                  </w:t>
            </w:r>
          </w:p>
          <w:p>
            <w:pPr>
              <w:spacing w:line="400" w:lineRule="exact"/>
              <w:jc w:val="right"/>
              <w:rPr>
                <w:rFonts w:ascii="仿宋_GB2312" w:hAnsi="宋体" w:eastAsia="仿宋_GB2312"/>
                <w:sz w:val="28"/>
                <w:szCs w:val="28"/>
              </w:rPr>
            </w:pPr>
          </w:p>
          <w:p>
            <w:pPr>
              <w:pStyle w:val="2"/>
              <w:ind w:firstLine="440"/>
            </w:pPr>
          </w:p>
          <w:p>
            <w:pPr>
              <w:spacing w:line="400" w:lineRule="exact"/>
              <w:ind w:firstLine="4060" w:firstLineChars="1450"/>
              <w:jc w:val="right"/>
              <w:rPr>
                <w:rFonts w:ascii="仿宋_GB2312" w:hAnsi="宋体" w:eastAsia="仿宋_GB2312"/>
                <w:sz w:val="28"/>
                <w:szCs w:val="28"/>
              </w:rPr>
            </w:pPr>
          </w:p>
          <w:p>
            <w:pPr>
              <w:spacing w:line="400" w:lineRule="exact"/>
              <w:ind w:firstLine="4060" w:firstLineChars="1450"/>
              <w:jc w:val="right"/>
              <w:rPr>
                <w:rFonts w:ascii="仿宋_GB2312" w:hAnsi="宋体" w:eastAsia="仿宋_GB2312"/>
                <w:sz w:val="28"/>
                <w:szCs w:val="28"/>
              </w:rPr>
            </w:pPr>
          </w:p>
          <w:p>
            <w:pPr>
              <w:spacing w:line="400" w:lineRule="exact"/>
              <w:ind w:firstLine="3920" w:firstLineChars="1400"/>
              <w:jc w:val="both"/>
              <w:rPr>
                <w:rFonts w:hint="eastAsia" w:ascii="仿宋_GB2312" w:hAnsi="宋体" w:eastAsia="仿宋_GB2312"/>
                <w:sz w:val="28"/>
                <w:szCs w:val="28"/>
                <w:lang w:eastAsia="zh-CN"/>
              </w:rPr>
            </w:pPr>
            <w:r>
              <w:rPr>
                <w:rFonts w:hint="eastAsia" w:ascii="仿宋_GB2312" w:hAnsi="宋体"/>
                <w:sz w:val="28"/>
                <w:szCs w:val="28"/>
                <w:lang w:eastAsia="zh-CN"/>
              </w:rPr>
              <w:t>单位负责人签名：</w:t>
            </w:r>
          </w:p>
          <w:p>
            <w:pPr>
              <w:spacing w:line="400" w:lineRule="exact"/>
              <w:ind w:firstLine="4060" w:firstLineChars="1450"/>
              <w:jc w:val="left"/>
              <w:rPr>
                <w:rFonts w:ascii="仿宋_GB2312" w:hAnsi="宋体" w:eastAsia="仿宋_GB2312"/>
                <w:sz w:val="28"/>
                <w:szCs w:val="28"/>
              </w:rPr>
            </w:pPr>
            <w:r>
              <w:rPr>
                <w:rFonts w:hint="eastAsia" w:ascii="仿宋_GB2312" w:hAnsi="宋体" w:eastAsia="仿宋_GB2312"/>
                <w:sz w:val="28"/>
                <w:szCs w:val="28"/>
              </w:rPr>
              <w:t>单位（盖章）</w:t>
            </w:r>
          </w:p>
          <w:p>
            <w:pPr>
              <w:spacing w:line="400" w:lineRule="exact"/>
              <w:jc w:val="right"/>
              <w:rPr>
                <w:rFonts w:ascii="仿宋_GB2312" w:hAnsi="宋体" w:eastAsia="仿宋_GB2312"/>
                <w:sz w:val="28"/>
                <w:szCs w:val="28"/>
              </w:rPr>
            </w:pPr>
          </w:p>
        </w:tc>
      </w:tr>
    </w:tbl>
    <w:p/>
    <w:p>
      <w:pPr>
        <w:pStyle w:val="2"/>
        <w:rPr>
          <w:rFonts w:hint="eastAsia"/>
          <w:lang w:val="en-US" w:eastAsia="zh-CN"/>
        </w:rPr>
      </w:pPr>
    </w:p>
    <w:sectPr>
      <w:pgSz w:w="11906" w:h="16838"/>
      <w:pgMar w:top="2098" w:right="1474" w:bottom="1984" w:left="1588" w:header="567"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72050"/>
    <w:rsid w:val="127B419C"/>
    <w:rsid w:val="1A3C266B"/>
    <w:rsid w:val="1F0F7F1F"/>
    <w:rsid w:val="22810B96"/>
    <w:rsid w:val="2E073719"/>
    <w:rsid w:val="37FB5ECA"/>
    <w:rsid w:val="3E6B6ADC"/>
    <w:rsid w:val="3FFF3F60"/>
    <w:rsid w:val="45514DD7"/>
    <w:rsid w:val="5C472050"/>
    <w:rsid w:val="5E8118D5"/>
    <w:rsid w:val="62FC10E4"/>
    <w:rsid w:val="6ADE146B"/>
    <w:rsid w:val="73E21DB9"/>
    <w:rsid w:val="7F265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eastAsia="仿宋_GB2312" w:asciiTheme="minorAscii" w:hAnsiTheme="minorAscii" w:cstheme="minorBidi"/>
      <w:kern w:val="2"/>
      <w:sz w:val="32"/>
      <w:szCs w:val="22"/>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简体"/>
      <w:kern w:val="44"/>
      <w:sz w:val="4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1"/>
    <w:qFormat/>
    <w:uiPriority w:val="0"/>
    <w:pPr>
      <w:tabs>
        <w:tab w:val="left" w:pos="574"/>
        <w:tab w:val="left" w:pos="9360"/>
      </w:tabs>
      <w:spacing w:line="312" w:lineRule="auto"/>
      <w:ind w:firstLine="420"/>
    </w:pPr>
  </w:style>
  <w:style w:type="paragraph" w:styleId="3">
    <w:name w:val="Body Text"/>
    <w:basedOn w:val="1"/>
    <w:next w:val="2"/>
    <w:qFormat/>
    <w:uiPriority w:val="0"/>
    <w:rPr>
      <w:sz w:val="24"/>
      <w:szCs w:val="24"/>
    </w:r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toc 6"/>
    <w:basedOn w:val="1"/>
    <w:next w:val="1"/>
    <w:qFormat/>
    <w:uiPriority w:val="0"/>
    <w:pPr>
      <w:ind w:left="1400"/>
    </w:pPr>
    <w:rPr>
      <w:rFonts w:ascii="Calibri"/>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page number"/>
    <w:basedOn w:val="8"/>
    <w:qFormat/>
    <w:uiPriority w:val="0"/>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2">
    <w:name w:val="列出段落1"/>
    <w:basedOn w:val="1"/>
    <w:qFormat/>
    <w:uiPriority w:val="0"/>
    <w:pPr>
      <w:autoSpaceDE/>
      <w:autoSpaceDN/>
      <w:adjustRightInd/>
      <w:ind w:firstLine="420" w:firstLineChars="200"/>
      <w:jc w:val="both"/>
    </w:pPr>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2021-12-29T06:34:00Z</dcterms:created>
  <dc:creator>Administrator</dc:creator>
  <cp:lastModifiedBy>Administrator</cp:lastModifiedBy>
  <dcterms:modified xsi:type="dcterms:W3CDTF">2022-07-29T07:39:31Z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DD52C34701A54014BF20F40BFE1DECC5</vt:lpwstr>
  </property>
</Properties>
</file>