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olor w:val="000000"/>
          <w:sz w:val="32"/>
          <w:szCs w:val="32"/>
        </w:rPr>
      </w:pPr>
      <w:r>
        <w:rPr>
          <w:rFonts w:hint="eastAsia" w:ascii="黑体" w:hAnsi="黑体" w:eastAsia="黑体"/>
          <w:color w:val="000000"/>
          <w:sz w:val="32"/>
          <w:szCs w:val="32"/>
        </w:rPr>
        <w:t>附件</w:t>
      </w:r>
    </w:p>
    <w:p>
      <w:pPr>
        <w:snapToGrid w:val="0"/>
        <w:spacing w:line="240" w:lineRule="exact"/>
        <w:jc w:val="center"/>
        <w:rPr>
          <w:rFonts w:hint="eastAsia" w:ascii="方正小标宋简体" w:eastAsia="方正小标宋简体"/>
          <w:color w:val="000000"/>
          <w:sz w:val="44"/>
          <w:szCs w:val="44"/>
        </w:rPr>
      </w:pPr>
    </w:p>
    <w:p>
      <w:pPr>
        <w:snapToGrid w:val="0"/>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征集意见和采纳情况汇总表</w:t>
      </w:r>
    </w:p>
    <w:p>
      <w:pPr>
        <w:snapToGrid w:val="0"/>
        <w:spacing w:line="600" w:lineRule="exact"/>
        <w:jc w:val="center"/>
        <w:rPr>
          <w:rFonts w:hint="eastAsia" w:ascii="方正小标宋简体" w:eastAsia="方正小标宋简体"/>
          <w:color w:val="000000"/>
          <w:sz w:val="44"/>
          <w:szCs w:val="44"/>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3012"/>
        <w:gridCol w:w="1515"/>
        <w:gridCol w:w="2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snapToGrid w:val="0"/>
              <w:spacing w:line="400" w:lineRule="exact"/>
              <w:ind w:right="-91"/>
              <w:jc w:val="center"/>
              <w:rPr>
                <w:rFonts w:hint="eastAsia" w:ascii="仿宋_GB2312" w:eastAsia="仿宋_GB2312"/>
                <w:b/>
                <w:color w:val="000000"/>
                <w:sz w:val="32"/>
                <w:szCs w:val="32"/>
              </w:rPr>
            </w:pPr>
            <w:r>
              <w:rPr>
                <w:rFonts w:hint="eastAsia" w:ascii="仿宋_GB2312" w:eastAsia="仿宋_GB2312"/>
                <w:b/>
                <w:color w:val="000000"/>
                <w:sz w:val="32"/>
                <w:szCs w:val="32"/>
              </w:rPr>
              <w:t>序号</w:t>
            </w:r>
          </w:p>
        </w:tc>
        <w:tc>
          <w:tcPr>
            <w:tcW w:w="3012" w:type="dxa"/>
            <w:vAlign w:val="center"/>
          </w:tcPr>
          <w:p>
            <w:pPr>
              <w:snapToGrid w:val="0"/>
              <w:spacing w:line="600" w:lineRule="exact"/>
              <w:ind w:right="-108"/>
              <w:jc w:val="center"/>
              <w:rPr>
                <w:rFonts w:hint="eastAsia" w:ascii="仿宋_GB2312" w:eastAsia="仿宋_GB2312"/>
                <w:b/>
                <w:color w:val="000000"/>
                <w:sz w:val="32"/>
                <w:szCs w:val="32"/>
              </w:rPr>
            </w:pPr>
            <w:r>
              <w:rPr>
                <w:rFonts w:ascii="仿宋_GB2312" w:eastAsia="仿宋_GB2312"/>
                <w:b/>
                <w:color w:val="000000"/>
                <w:sz w:val="32"/>
                <w:szCs w:val="32"/>
              </w:rPr>
              <w:t>提出的修改意见</w:t>
            </w:r>
          </w:p>
        </w:tc>
        <w:tc>
          <w:tcPr>
            <w:tcW w:w="1515" w:type="dxa"/>
            <w:vAlign w:val="center"/>
          </w:tcPr>
          <w:p>
            <w:pPr>
              <w:snapToGrid w:val="0"/>
              <w:spacing w:line="600" w:lineRule="exact"/>
              <w:ind w:right="-91"/>
              <w:jc w:val="center"/>
              <w:rPr>
                <w:rFonts w:hint="eastAsia" w:ascii="仿宋_GB2312" w:eastAsia="仿宋_GB2312"/>
                <w:b/>
                <w:color w:val="000000"/>
                <w:sz w:val="32"/>
                <w:szCs w:val="32"/>
              </w:rPr>
            </w:pPr>
            <w:r>
              <w:rPr>
                <w:rFonts w:ascii="仿宋_GB2312" w:eastAsia="仿宋_GB2312"/>
                <w:b/>
                <w:color w:val="000000"/>
                <w:sz w:val="32"/>
                <w:szCs w:val="32"/>
              </w:rPr>
              <w:t>采纳情况</w:t>
            </w:r>
          </w:p>
        </w:tc>
        <w:tc>
          <w:tcPr>
            <w:tcW w:w="2961" w:type="dxa"/>
            <w:vAlign w:val="center"/>
          </w:tcPr>
          <w:p>
            <w:pPr>
              <w:snapToGrid w:val="0"/>
              <w:spacing w:line="600" w:lineRule="exact"/>
              <w:ind w:right="-46"/>
              <w:jc w:val="center"/>
              <w:rPr>
                <w:rFonts w:hint="eastAsia" w:ascii="仿宋_GB2312" w:eastAsia="仿宋_GB2312"/>
                <w:b/>
                <w:color w:val="000000"/>
                <w:sz w:val="32"/>
                <w:szCs w:val="32"/>
              </w:rPr>
            </w:pPr>
            <w:r>
              <w:rPr>
                <w:rFonts w:ascii="仿宋_GB2312" w:eastAsia="仿宋_GB2312"/>
                <w:b/>
                <w:color w:val="000000"/>
                <w:sz w:val="32"/>
                <w:szCs w:val="32"/>
              </w:rPr>
              <w:t>采纳与否的理由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w:t>
            </w: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r>
              <w:rPr>
                <w:rFonts w:hint="eastAsia" w:ascii="仿宋_GB2312" w:hAnsi="宋体" w:eastAsia="仿宋_GB2312" w:cs="宋体"/>
                <w:color w:val="000000"/>
                <w:kern w:val="0"/>
                <w:szCs w:val="21"/>
                <w:lang w:bidi="ar"/>
              </w:rPr>
              <w:t>建议在建工程不纳入顺位抵押的受理范围内。因在建工程是按照抵押物登记当下时间的工程施工进度来确定其价值，随着工程进度的推进抵押物会有升值的空间，而升值的部分将会归属顺位抵押权利人。在抵押物多次顺位抵押登记后，会形成抵押物价值认定边界模糊容易产生纠纷。</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r>
              <w:rPr>
                <w:rFonts w:hint="eastAsia" w:ascii="仿宋_GB2312" w:hAnsi="方正小标宋简体" w:eastAsia="仿宋_GB2312" w:cs="方正小标宋简体"/>
                <w:szCs w:val="21"/>
              </w:rPr>
              <w:t>不采纳</w:t>
            </w: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r>
              <w:rPr>
                <w:rFonts w:hint="eastAsia" w:ascii="仿宋_GB2312" w:hAnsi="方正小标宋简体" w:eastAsia="仿宋_GB2312" w:cs="方正小标宋简体"/>
                <w:szCs w:val="21"/>
              </w:rPr>
              <w:t>根据《</w:t>
            </w:r>
            <w:r>
              <w:rPr>
                <w:rFonts w:hint="eastAsia" w:ascii="仿宋_GB2312" w:hAnsi="方正小标宋简体" w:eastAsia="仿宋_GB2312" w:cs="方正小标宋简体"/>
                <w:szCs w:val="21"/>
                <w:lang w:val="en-US" w:eastAsia="zh-CN"/>
              </w:rPr>
              <w:t>民法典</w:t>
            </w:r>
            <w:r>
              <w:rPr>
                <w:rFonts w:hint="eastAsia" w:ascii="仿宋_GB2312" w:hAnsi="方正小标宋简体" w:eastAsia="仿宋_GB2312" w:cs="方正小标宋简体"/>
                <w:szCs w:val="21"/>
              </w:rPr>
              <w:t>》第</w:t>
            </w:r>
            <w:r>
              <w:rPr>
                <w:rFonts w:hint="eastAsia" w:ascii="仿宋_GB2312" w:hAnsi="方正小标宋简体" w:eastAsia="仿宋_GB2312" w:cs="方正小标宋简体"/>
                <w:szCs w:val="21"/>
                <w:lang w:val="en-US" w:eastAsia="zh-CN"/>
              </w:rPr>
              <w:t>395</w:t>
            </w:r>
            <w:r>
              <w:rPr>
                <w:rFonts w:hint="eastAsia" w:ascii="仿宋_GB2312" w:hAnsi="方正小标宋简体" w:eastAsia="仿宋_GB2312" w:cs="方正小标宋简体"/>
                <w:szCs w:val="21"/>
              </w:rPr>
              <w:t>条规定，债务人或者第三人有权处分的</w:t>
            </w:r>
            <w:r>
              <w:rPr>
                <w:rFonts w:hint="eastAsia" w:ascii="仿宋_GB2312" w:hAnsi="宋体" w:eastAsia="仿宋_GB2312" w:cs="宋体"/>
                <w:color w:val="000000"/>
                <w:kern w:val="0"/>
                <w:szCs w:val="21"/>
              </w:rPr>
              <w:t>正在建造的建筑物</w:t>
            </w:r>
            <w:r>
              <w:rPr>
                <w:rFonts w:hint="eastAsia" w:ascii="仿宋_GB2312" w:hAnsi="方正小标宋简体" w:eastAsia="仿宋_GB2312" w:cs="方正小标宋简体"/>
                <w:szCs w:val="21"/>
              </w:rPr>
              <w:t>可以抵押。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r>
              <w:rPr>
                <w:rFonts w:hint="eastAsia" w:ascii="仿宋_GB2312" w:hAnsi="宋体" w:eastAsia="仿宋_GB2312" w:cs="宋体"/>
                <w:color w:val="000000"/>
                <w:kern w:val="0"/>
                <w:szCs w:val="21"/>
                <w:lang w:bidi="ar"/>
              </w:rPr>
              <w:t>对于抵押人在注销相应原有先位顺序抵押的当天内申请办理新的抵押登记业务，且新办抵押基于原贷款人、额度未超过原抵押贷款的，维持原有抵押顺位不变。建议增加如因不动产部门系统问题导致不能当天完成抵押登记手续的视同同一天完成，并维持原顺位不变，以确保先位抵押权人的权利。</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r>
              <w:rPr>
                <w:rFonts w:hint="eastAsia" w:ascii="仿宋_GB2312" w:hAnsi="方正小标宋简体" w:eastAsia="仿宋_GB2312" w:cs="方正小标宋简体"/>
                <w:szCs w:val="21"/>
              </w:rPr>
              <w:t>不采纳</w:t>
            </w: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r>
              <w:rPr>
                <w:rFonts w:hint="eastAsia" w:ascii="仿宋_GB2312" w:hAnsi="方正小标宋简体" w:eastAsia="仿宋_GB2312" w:cs="方正小标宋简体"/>
                <w:szCs w:val="21"/>
              </w:rPr>
              <w:t>经县资规局不动产登记中心确认，该情况基本不会发生。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r>
              <w:rPr>
                <w:rFonts w:hint="eastAsia" w:ascii="仿宋_GB2312" w:eastAsia="仿宋_GB2312"/>
                <w:szCs w:val="21"/>
              </w:rPr>
              <w:t>要充分防范房价向下波动对先位顺序抵押权人权益的冲击，防止多头授信，过度授信等外部风险向银行机构传导。2、针对＂（四）抵押权人应当支持抵押人利用抵押物剩余价值向其他抵押权人实行顺位抵押，顺位抵押无需先位顺序抵押权人同意＂我们认为：先位顺序抵押权人对于顺位抵押，根据自身风险偏好程度，有知情权和选择退出权。</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r>
              <w:rPr>
                <w:rFonts w:hint="eastAsia" w:ascii="仿宋_GB2312" w:eastAsia="仿宋_GB2312"/>
                <w:szCs w:val="21"/>
              </w:rPr>
              <w:t>采纳，政策文件第（八）条第3款已明确：抵押人办理不动产顺位抵押权登记时，抵押双方需在风险自担承诺材料上明确，已告知先位顺序抵押权人本次将办理的不动产顺位抵押相关事宜。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snapToGrid w:val="0"/>
              <w:spacing w:line="600" w:lineRule="exact"/>
              <w:ind w:right="640"/>
              <w:jc w:val="center"/>
              <w:rPr>
                <w:rFonts w:hint="eastAsia" w:ascii="仿宋_GB2312" w:eastAsia="仿宋_GB2312"/>
                <w:color w:val="000000"/>
                <w:sz w:val="32"/>
                <w:szCs w:val="32"/>
              </w:rPr>
            </w:pPr>
          </w:p>
        </w:tc>
        <w:tc>
          <w:tcPr>
            <w:tcW w:w="3012" w:type="dxa"/>
            <w:vAlign w:val="center"/>
          </w:tcPr>
          <w:p>
            <w:pPr>
              <w:snapToGrid w:val="0"/>
              <w:spacing w:line="600" w:lineRule="exact"/>
              <w:ind w:right="640"/>
              <w:jc w:val="center"/>
              <w:rPr>
                <w:rFonts w:hint="eastAsia" w:ascii="仿宋_GB2312" w:eastAsia="仿宋_GB2312"/>
                <w:color w:val="000000"/>
                <w:sz w:val="32"/>
                <w:szCs w:val="32"/>
              </w:rPr>
            </w:pPr>
          </w:p>
        </w:tc>
        <w:tc>
          <w:tcPr>
            <w:tcW w:w="1515" w:type="dxa"/>
            <w:vAlign w:val="center"/>
          </w:tcPr>
          <w:p>
            <w:pPr>
              <w:snapToGrid w:val="0"/>
              <w:spacing w:line="600" w:lineRule="exact"/>
              <w:ind w:right="640"/>
              <w:jc w:val="center"/>
              <w:rPr>
                <w:rFonts w:hint="eastAsia" w:ascii="仿宋_GB2312" w:eastAsia="仿宋_GB2312"/>
                <w:color w:val="000000"/>
                <w:sz w:val="32"/>
                <w:szCs w:val="32"/>
              </w:rPr>
            </w:pPr>
          </w:p>
        </w:tc>
        <w:tc>
          <w:tcPr>
            <w:tcW w:w="2961" w:type="dxa"/>
            <w:vAlign w:val="center"/>
          </w:tcPr>
          <w:p>
            <w:pPr>
              <w:snapToGrid w:val="0"/>
              <w:spacing w:line="600" w:lineRule="exact"/>
              <w:ind w:right="640"/>
              <w:jc w:val="center"/>
              <w:rPr>
                <w:rFonts w:hint="eastAsia" w:ascii="仿宋_GB2312" w:eastAsia="仿宋_GB2312"/>
                <w:color w:val="000000"/>
                <w:sz w:val="32"/>
                <w:szCs w:val="32"/>
              </w:rPr>
            </w:pPr>
          </w:p>
        </w:tc>
      </w:tr>
    </w:tbl>
    <w:p>
      <w:pPr>
        <w:snapToGrid w:val="0"/>
        <w:spacing w:line="600" w:lineRule="exact"/>
        <w:ind w:right="640"/>
        <w:jc w:val="right"/>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jc w:val="righ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单位：</w:t>
      </w:r>
      <w:r>
        <w:rPr>
          <w:rFonts w:hint="eastAsia" w:ascii="仿宋_GB2312" w:eastAsia="仿宋_GB2312"/>
          <w:color w:val="000000"/>
          <w:sz w:val="32"/>
          <w:szCs w:val="32"/>
          <w:lang w:eastAsia="zh-CN"/>
        </w:rPr>
        <w:t>平阳县金融工作服务中心</w:t>
      </w:r>
    </w:p>
    <w:p>
      <w:pPr>
        <w:snapToGrid w:val="0"/>
        <w:spacing w:line="600" w:lineRule="exact"/>
        <w:ind w:right="640"/>
        <w:jc w:val="right"/>
      </w:pP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8</w:t>
      </w:r>
      <w:bookmarkStart w:id="0" w:name="_GoBack"/>
      <w:bookmarkEnd w:id="0"/>
      <w:r>
        <w:rPr>
          <w:rFonts w:hint="eastAsia" w:ascii="仿宋_GB2312"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DA"/>
    <w:rsid w:val="00357885"/>
    <w:rsid w:val="007F36DA"/>
    <w:rsid w:val="19EB54AB"/>
    <w:rsid w:val="1D804FEC"/>
    <w:rsid w:val="2E651A05"/>
    <w:rsid w:val="30A0452D"/>
    <w:rsid w:val="3762431F"/>
    <w:rsid w:val="4DE47E96"/>
    <w:rsid w:val="50FF173B"/>
    <w:rsid w:val="513A3EBB"/>
    <w:rsid w:val="7708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25</Words>
  <Characters>148</Characters>
  <Lines>1</Lines>
  <Paragraphs>1</Paragraphs>
  <TotalTime>1</TotalTime>
  <ScaleCrop>false</ScaleCrop>
  <LinksUpToDate>false</LinksUpToDate>
  <CharactersWithSpaces>172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2019-05-14T08:50:00Z</dcterms:created>
  <dc:creator>AutoBVT</dc:creator>
  <cp:lastModifiedBy>sundream</cp:lastModifiedBy>
  <dcterms:modified xsi:type="dcterms:W3CDTF">2022-03-09T02:05:33Z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DF13D415DBD34197976FD612BFD1B40B</vt:lpwstr>
  </property>
</Properties>
</file>