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val="0"/>
        <w:suppressLineNumbers w:val="0"/>
        <w:spacing w:before="0" w:beforeAutospacing="0" w:after="0" w:afterAutospacing="0"/>
        <w:ind w:left="0" w:right="0"/>
        <w:jc w:val="both"/>
        <w:rPr>
          <w:rFonts w:eastAsia="仿宋_GB2312"/>
          <w:sz w:val="28"/>
          <w:szCs w:val="24"/>
          <w:lang w:val="en-US"/>
        </w:rPr>
      </w:pPr>
      <w:bookmarkStart w:id="116" w:name="_GoBack"/>
      <w:bookmarkEnd w:id="116"/>
    </w:p>
    <w:p>
      <w:pPr>
        <w:keepNext w:val="0"/>
        <w:keepLines w:val="0"/>
        <w:widowControl w:val="0"/>
        <w:suppressLineNumbers w:val="0"/>
        <w:spacing w:before="0" w:beforeAutospacing="0" w:after="0" w:afterAutospacing="0"/>
        <w:ind w:left="0" w:leftChars="0" w:right="0" w:firstLine="0" w:firstLineChars="0"/>
        <w:jc w:val="center"/>
        <w:rPr>
          <w:rFonts w:hint="eastAsia" w:ascii="方正小标宋简体" w:hAnsi="华文中宋" w:eastAsia="方正小标宋简体" w:cs="方正小标宋简体"/>
          <w:bCs/>
          <w:color w:val="FF0000"/>
          <w:spacing w:val="-20"/>
          <w:w w:val="75"/>
          <w:sz w:val="100"/>
          <w:szCs w:val="100"/>
          <w:lang w:val="en-US"/>
        </w:rPr>
      </w:pPr>
      <w:r>
        <w:rPr>
          <w:rFonts w:hint="eastAsia" w:ascii="方正小标宋简体" w:hAnsi="华文中宋" w:eastAsia="方正小标宋简体" w:cs="方正小标宋简体"/>
          <w:bCs/>
          <w:color w:val="FF0000"/>
          <w:spacing w:val="-20"/>
          <w:w w:val="75"/>
          <w:kern w:val="2"/>
          <w:sz w:val="100"/>
          <w:szCs w:val="100"/>
          <w:lang w:val="en-US" w:eastAsia="zh-CN" w:bidi="ar"/>
        </w:rPr>
        <w:t>平阳县人民政府办公室文件</w:t>
      </w:r>
    </w:p>
    <w:p>
      <w:pPr>
        <w:keepNext w:val="0"/>
        <w:keepLines w:val="0"/>
        <w:widowControl w:val="0"/>
        <w:suppressLineNumbers w:val="0"/>
        <w:spacing w:before="0" w:beforeAutospacing="0" w:after="0" w:afterAutospacing="0" w:line="600" w:lineRule="exact"/>
        <w:ind w:left="0" w:leftChars="0" w:right="0" w:firstLine="0" w:firstLineChars="0"/>
        <w:jc w:val="center"/>
        <w:rPr>
          <w:rFonts w:hint="eastAsia" w:ascii="仿宋_GB2312" w:hAnsi="宋体" w:eastAsia="仿宋_GB2312" w:cs="仿宋_GB2312"/>
          <w:sz w:val="32"/>
          <w:szCs w:val="24"/>
          <w:lang w:val="en-US"/>
        </w:rPr>
      </w:pPr>
      <w:r>
        <w:rPr>
          <w:rFonts w:hint="eastAsia" w:ascii="仿宋_GB2312" w:hAnsi="Times New Roman" w:eastAsia="仿宋_GB2312" w:cs="仿宋_GB2312"/>
          <w:kern w:val="2"/>
          <w:sz w:val="32"/>
          <w:szCs w:val="32"/>
          <w:lang w:val="en-US" w:eastAsia="zh-CN" w:bidi="ar"/>
        </w:rPr>
        <w:t>平政办</w:t>
      </w:r>
      <w:r>
        <w:rPr>
          <w:rFonts w:hint="eastAsia" w:ascii="仿宋_GB2312" w:hAnsi="宋体" w:eastAsia="仿宋_GB2312" w:cs="仿宋_GB2312"/>
          <w:kern w:val="2"/>
          <w:sz w:val="32"/>
          <w:szCs w:val="32"/>
          <w:lang w:val="en-US" w:eastAsia="zh-CN" w:bidi="ar"/>
        </w:rPr>
        <w:t>〔2022〕53</w:t>
      </w:r>
      <w:r>
        <w:rPr>
          <w:rFonts w:hint="eastAsia" w:ascii="仿宋_GB2312" w:hAnsi="宋体" w:eastAsia="仿宋_GB2312" w:cs="仿宋_GB2312"/>
          <w:kern w:val="2"/>
          <w:sz w:val="32"/>
          <w:szCs w:val="24"/>
          <w:lang w:val="en-US" w:eastAsia="zh-CN" w:bidi="ar"/>
        </w:rPr>
        <w:t>号</w:t>
      </w:r>
    </w:p>
    <w:p>
      <w:pPr>
        <w:keepNext w:val="0"/>
        <w:keepLines w:val="0"/>
        <w:widowControl w:val="0"/>
        <w:suppressLineNumbers w:val="0"/>
        <w:spacing w:before="0" w:beforeAutospacing="0" w:after="0" w:afterAutospacing="0" w:line="240" w:lineRule="exact"/>
        <w:ind w:left="0" w:right="0"/>
        <w:jc w:val="center"/>
        <w:rPr>
          <w:rFonts w:hint="eastAsia" w:ascii="仿宋_GB2312" w:hAnsi="宋体" w:eastAsia="仿宋_GB2312" w:cs="仿宋_GB2312"/>
          <w:sz w:val="32"/>
          <w:szCs w:val="24"/>
          <w:lang w:val="en-US"/>
        </w:rPr>
      </w:pPr>
    </w:p>
    <w:p>
      <w:pPr>
        <w:keepNext w:val="0"/>
        <w:keepLines w:val="0"/>
        <w:widowControl w:val="0"/>
        <w:suppressLineNumbers w:val="0"/>
        <w:spacing w:before="0" w:beforeAutospacing="0" w:after="0" w:afterAutospacing="0" w:line="600" w:lineRule="exact"/>
        <w:ind w:left="0" w:right="0"/>
        <w:jc w:val="center"/>
        <w:rPr>
          <w:rFonts w:hint="eastAsia" w:ascii="仿宋_GB2312" w:hAnsi="宋体" w:eastAsia="仿宋_GB2312" w:cs="仿宋_GB2312"/>
          <w:color w:val="000000"/>
          <w:sz w:val="32"/>
          <w:szCs w:val="32"/>
          <w:lang w:val="en-US"/>
        </w:rPr>
      </w:pPr>
      <w:r>
        <w:rPr>
          <w:rFonts w:hint="default" w:ascii="Times New Roman" w:hAnsi="Times New Roman" w:eastAsia="宋体" w:cs="Times New Roman"/>
          <w:kern w:val="2"/>
          <w:sz w:val="21"/>
          <w:szCs w:val="24"/>
          <w:lang w:val="en-US" w:eastAsia="zh-CN" w:bidi="ar"/>
        </w:rPr>
        <mc:AlternateContent>
          <mc:Choice Requires="wps">
            <w:drawing>
              <wp:anchor distT="0" distB="0" distL="114935" distR="114935" simplePos="0" relativeHeight="251659264" behindDoc="0" locked="0" layoutInCell="1" allowOverlap="1">
                <wp:simplePos x="0" y="0"/>
                <wp:positionH relativeFrom="column">
                  <wp:posOffset>0</wp:posOffset>
                </wp:positionH>
                <wp:positionV relativeFrom="paragraph">
                  <wp:posOffset>15240</wp:posOffset>
                </wp:positionV>
                <wp:extent cx="5600700" cy="0"/>
                <wp:effectExtent l="0" t="0" r="0" b="0"/>
                <wp:wrapNone/>
                <wp:docPr id="10" name="直线 2"/>
                <wp:cNvGraphicFramePr/>
                <a:graphic xmlns:a="http://schemas.openxmlformats.org/drawingml/2006/main">
                  <a:graphicData uri="http://schemas.microsoft.com/office/word/2010/wordprocessingShape">
                    <wps:wsp>
                      <wps:cNvCnPr/>
                      <wps:spPr>
                        <a:xfrm flipV="true">
                          <a:off x="0" y="0"/>
                          <a:ext cx="5600700" cy="0"/>
                        </a:xfrm>
                        <a:prstGeom prst="line">
                          <a:avLst/>
                        </a:prstGeom>
                        <a:ln w="15875" cap="flat" cmpd="sng">
                          <a:solidFill>
                            <a:srgbClr val="FF0000"/>
                          </a:solidFill>
                          <a:prstDash val="solid"/>
                          <a:headEnd type="none" w="med" len="med"/>
                          <a:tailEnd type="none" w="med" len="med"/>
                        </a:ln>
                      </wps:spPr>
                      <wps:bodyPr upright="true"/>
                    </wps:wsp>
                  </a:graphicData>
                </a:graphic>
              </wp:anchor>
            </w:drawing>
          </mc:Choice>
          <mc:Fallback>
            <w:pict>
              <v:line id="直线 2" o:spid="_x0000_s1026" o:spt="20" style="position:absolute;left:0pt;flip:y;margin-left:0pt;margin-top:1.2pt;height:0pt;width:441pt;z-index:251659264;mso-width-relative:page;mso-height-relative:page;" filled="f" stroked="t" coordsize="21600,21600" o:gfxdata="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AoL&#10;fZ7RAAAABAEAAA8AAAAAAAAAAQAgAAAAOAAAAGRycy9kb3ducmV2LnhtbFBLAQIUABQAAAAIAIdO&#10;4kAVhD4S2wEAAJ8DAAAOAAAAAAAAAAEAIAAAADYBAABkcnMvZTJvRG9jLnhtbFBLBQYAAAAABgAG&#10;AFkBAACDBQAAAAA=&#10;">
                <v:fill on="f" focussize="0,0"/>
                <v:stroke weight="1.25pt" color="#FF0000" joinstyle="round"/>
                <v:imagedata o:title=""/>
                <o:lock v:ext="edit" aspectratio="f"/>
              </v:line>
            </w:pict>
          </mc:Fallback>
        </mc:AlternateContent>
      </w:r>
    </w:p>
    <w:p>
      <w:pPr>
        <w:keepNext w:val="0"/>
        <w:keepLines w:val="0"/>
        <w:widowControl w:val="0"/>
        <w:suppressLineNumbers w:val="0"/>
        <w:tabs>
          <w:tab w:val="left" w:pos="4256"/>
        </w:tabs>
        <w:spacing w:before="0" w:beforeAutospacing="0" w:after="0" w:afterAutospacing="0" w:line="600" w:lineRule="exact"/>
        <w:ind w:left="0" w:right="0" w:firstLine="880" w:firstLineChars="200"/>
        <w:jc w:val="both"/>
        <w:rPr>
          <w:rFonts w:hint="eastAsia" w:ascii="方正小标宋简体" w:hAnsi="方正小标宋简体" w:eastAsia="方正小标宋简体" w:cs="方正小标宋简体"/>
          <w:sz w:val="44"/>
          <w:szCs w:val="44"/>
          <w:lang w:val="en-US"/>
        </w:rPr>
      </w:pPr>
    </w:p>
    <w:p>
      <w:pPr>
        <w:keepNext w:val="0"/>
        <w:keepLines w:val="0"/>
        <w:pageBreakBefore w:val="0"/>
        <w:widowControl w:val="0"/>
        <w:kinsoku/>
        <w:wordWrap/>
        <w:overflowPunct/>
        <w:topLinePunct w:val="0"/>
        <w:autoSpaceDE/>
        <w:autoSpaceDN/>
        <w:bidi w:val="0"/>
        <w:adjustRightInd w:val="0"/>
        <w:snapToGrid w:val="0"/>
        <w:spacing w:line="600" w:lineRule="exact"/>
        <w:ind w:firstLine="0" w:firstLineChars="0"/>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平阳县人民政府办公室</w:t>
      </w:r>
    </w:p>
    <w:p>
      <w:pPr>
        <w:keepNext w:val="0"/>
        <w:keepLines w:val="0"/>
        <w:pageBreakBefore w:val="0"/>
        <w:widowControl w:val="0"/>
        <w:kinsoku/>
        <w:wordWrap/>
        <w:overflowPunct/>
        <w:topLinePunct w:val="0"/>
        <w:autoSpaceDE/>
        <w:autoSpaceDN/>
        <w:bidi w:val="0"/>
        <w:adjustRightInd w:val="0"/>
        <w:snapToGrid w:val="0"/>
        <w:spacing w:line="600" w:lineRule="exact"/>
        <w:ind w:firstLine="0" w:firstLineChars="0"/>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关于印发平阳县综合交通运输</w:t>
      </w:r>
    </w:p>
    <w:p>
      <w:pPr>
        <w:keepNext w:val="0"/>
        <w:keepLines w:val="0"/>
        <w:pageBreakBefore w:val="0"/>
        <w:widowControl w:val="0"/>
        <w:kinsoku/>
        <w:wordWrap/>
        <w:overflowPunct/>
        <w:topLinePunct w:val="0"/>
        <w:autoSpaceDE/>
        <w:autoSpaceDN/>
        <w:bidi w:val="0"/>
        <w:adjustRightInd w:val="0"/>
        <w:snapToGrid w:val="0"/>
        <w:spacing w:line="600" w:lineRule="exact"/>
        <w:ind w:firstLine="0" w:firstLineChars="0"/>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“十四五”发展规划的通知</w:t>
      </w:r>
    </w:p>
    <w:p>
      <w:pPr>
        <w:keepNext w:val="0"/>
        <w:keepLines w:val="0"/>
        <w:pageBreakBefore w:val="0"/>
        <w:widowControl w:val="0"/>
        <w:kinsoku/>
        <w:wordWrap/>
        <w:overflowPunct/>
        <w:topLinePunct w:val="0"/>
        <w:autoSpaceDE/>
        <w:autoSpaceDN/>
        <w:bidi w:val="0"/>
        <w:adjustRightInd/>
        <w:snapToGrid w:val="0"/>
        <w:spacing w:line="560" w:lineRule="exact"/>
        <w:ind w:left="0" w:leftChars="0" w:firstLine="0" w:firstLineChars="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w:t>
      </w:r>
    </w:p>
    <w:p>
      <w:pPr>
        <w:keepNext w:val="0"/>
        <w:keepLines w:val="0"/>
        <w:pageBreakBefore w:val="0"/>
        <w:widowControl w:val="0"/>
        <w:kinsoku/>
        <w:wordWrap/>
        <w:overflowPunct/>
        <w:topLinePunct w:val="0"/>
        <w:autoSpaceDE/>
        <w:autoSpaceDN/>
        <w:bidi w:val="0"/>
        <w:adjustRightInd/>
        <w:snapToGrid w:val="0"/>
        <w:spacing w:line="560" w:lineRule="exact"/>
        <w:ind w:firstLine="0" w:firstLineChars="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各乡镇人民政府，县政府直属各单位：</w:t>
      </w:r>
    </w:p>
    <w:p>
      <w:pPr>
        <w:keepNext w:val="0"/>
        <w:keepLines w:val="0"/>
        <w:pageBreakBefore w:val="0"/>
        <w:widowControl w:val="0"/>
        <w:kinsoku/>
        <w:wordWrap/>
        <w:overflowPunct/>
        <w:topLinePunct w:val="0"/>
        <w:autoSpaceDE/>
        <w:autoSpaceDN/>
        <w:bidi w:val="0"/>
        <w:adjustRightInd/>
        <w:snapToGrid w:val="0"/>
        <w:spacing w:line="560" w:lineRule="exact"/>
        <w:ind w:firstLine="64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《平阳县综合交通运输“十四五”发展规划》已经县政府第5次常务会议通过，现印发给你们，请结合实际认真贯彻落实。</w:t>
      </w:r>
    </w:p>
    <w:p>
      <w:pPr>
        <w:keepNext w:val="0"/>
        <w:keepLines w:val="0"/>
        <w:pageBreakBefore w:val="0"/>
        <w:widowControl w:val="0"/>
        <w:kinsoku/>
        <w:wordWrap/>
        <w:overflowPunct/>
        <w:topLinePunct w:val="0"/>
        <w:autoSpaceDE/>
        <w:autoSpaceDN/>
        <w:bidi w:val="0"/>
        <w:adjustRightInd/>
        <w:snapToGrid w:val="0"/>
        <w:spacing w:line="560" w:lineRule="exact"/>
        <w:ind w:firstLine="64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autoSpaceDE/>
        <w:autoSpaceDN/>
        <w:bidi w:val="0"/>
        <w:adjustRightInd/>
        <w:snapToGrid w:val="0"/>
        <w:spacing w:line="560" w:lineRule="exact"/>
        <w:ind w:firstLine="640"/>
        <w:textAlignment w:val="auto"/>
        <w:rPr>
          <w:rFonts w:hint="eastAsia" w:ascii="仿宋_GB2312" w:hAnsi="仿宋_GB2312" w:eastAsia="仿宋_GB2312" w:cs="仿宋_GB2312"/>
          <w:sz w:val="32"/>
          <w:szCs w:val="32"/>
        </w:rPr>
      </w:pPr>
    </w:p>
    <w:p>
      <w:pPr>
        <w:pStyle w:val="2"/>
        <w:keepNext w:val="0"/>
        <w:keepLines w:val="0"/>
        <w:pageBreakBefore w:val="0"/>
        <w:widowControl w:val="0"/>
        <w:kinsoku/>
        <w:wordWrap/>
        <w:overflowPunct/>
        <w:topLinePunct w:val="0"/>
        <w:autoSpaceDE/>
        <w:autoSpaceDN/>
        <w:bidi w:val="0"/>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val="0"/>
        <w:spacing w:line="560" w:lineRule="exact"/>
        <w:ind w:firstLine="5440" w:firstLineChars="17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平阳县人民政府办公室</w:t>
      </w:r>
    </w:p>
    <w:p>
      <w:pPr>
        <w:keepNext w:val="0"/>
        <w:keepLines w:val="0"/>
        <w:pageBreakBefore w:val="0"/>
        <w:widowControl w:val="0"/>
        <w:kinsoku/>
        <w:wordWrap/>
        <w:overflowPunct/>
        <w:topLinePunct w:val="0"/>
        <w:autoSpaceDE/>
        <w:autoSpaceDN/>
        <w:bidi w:val="0"/>
        <w:adjustRightInd/>
        <w:snapToGrid w:val="0"/>
        <w:spacing w:line="560" w:lineRule="exact"/>
        <w:ind w:firstLine="64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cs="仿宋_GB2312"/>
          <w:sz w:val="32"/>
          <w:szCs w:val="32"/>
          <w:lang w:val="en-US" w:eastAsia="zh-CN"/>
        </w:rPr>
        <w:t xml:space="preserve">         </w:t>
      </w:r>
      <w:r>
        <w:rPr>
          <w:rFonts w:hint="eastAsia" w:ascii="仿宋_GB2312" w:hAnsi="仿宋_GB2312" w:eastAsia="仿宋_GB2312" w:cs="仿宋_GB2312"/>
          <w:sz w:val="32"/>
          <w:szCs w:val="32"/>
        </w:rPr>
        <w:t xml:space="preserve"> 2022年6月</w:t>
      </w:r>
      <w:r>
        <w:rPr>
          <w:rFonts w:hint="eastAsia" w:ascii="仿宋_GB2312" w:hAnsi="仿宋_GB2312" w:cs="仿宋_GB2312"/>
          <w:sz w:val="32"/>
          <w:szCs w:val="32"/>
          <w:lang w:val="en-US" w:eastAsia="zh-CN"/>
        </w:rPr>
        <w:t>30</w:t>
      </w:r>
      <w:r>
        <w:rPr>
          <w:rFonts w:hint="eastAsia" w:ascii="仿宋_GB2312" w:hAnsi="仿宋_GB2312" w:eastAsia="仿宋_GB2312" w:cs="仿宋_GB2312"/>
          <w:sz w:val="32"/>
          <w:szCs w:val="32"/>
        </w:rPr>
        <w:t>日</w:t>
      </w:r>
    </w:p>
    <w:p>
      <w:pPr>
        <w:keepNext w:val="0"/>
        <w:keepLines w:val="0"/>
        <w:pageBreakBefore w:val="0"/>
        <w:widowControl w:val="0"/>
        <w:kinsoku/>
        <w:wordWrap/>
        <w:overflowPunct/>
        <w:topLinePunct w:val="0"/>
        <w:autoSpaceDE/>
        <w:autoSpaceDN/>
        <w:bidi w:val="0"/>
        <w:adjustRightInd/>
        <w:snapToGrid w:val="0"/>
        <w:spacing w:line="560" w:lineRule="exact"/>
        <w:ind w:firstLine="64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（此件公开发布）</w:t>
      </w:r>
    </w:p>
    <w:p>
      <w:pPr>
        <w:pStyle w:val="15"/>
        <w:keepNext w:val="0"/>
        <w:keepLines w:val="0"/>
        <w:pageBreakBefore w:val="0"/>
        <w:widowControl w:val="0"/>
        <w:kinsoku/>
        <w:wordWrap/>
        <w:overflowPunct/>
        <w:topLinePunct w:val="0"/>
        <w:autoSpaceDE/>
        <w:autoSpaceDN/>
        <w:bidi w:val="0"/>
        <w:ind w:left="560"/>
        <w:rPr>
          <w:rFonts w:hint="default" w:ascii="Times New Roman" w:hAnsi="Times New Roman" w:cs="Times New Roman"/>
        </w:rPr>
      </w:pPr>
    </w:p>
    <w:p>
      <w:pPr>
        <w:pStyle w:val="15"/>
        <w:keepNext w:val="0"/>
        <w:keepLines w:val="0"/>
        <w:pageBreakBefore w:val="0"/>
        <w:widowControl w:val="0"/>
        <w:kinsoku/>
        <w:wordWrap/>
        <w:overflowPunct/>
        <w:topLinePunct w:val="0"/>
        <w:autoSpaceDE/>
        <w:autoSpaceDN/>
        <w:bidi w:val="0"/>
        <w:ind w:left="560"/>
        <w:rPr>
          <w:rFonts w:hint="default" w:ascii="Times New Roman" w:hAnsi="Times New Roman" w:cs="Times New Roman"/>
        </w:rPr>
      </w:pPr>
    </w:p>
    <w:p>
      <w:pPr>
        <w:pStyle w:val="15"/>
        <w:keepNext w:val="0"/>
        <w:keepLines w:val="0"/>
        <w:pageBreakBefore w:val="0"/>
        <w:widowControl w:val="0"/>
        <w:kinsoku/>
        <w:wordWrap/>
        <w:overflowPunct/>
        <w:topLinePunct w:val="0"/>
        <w:autoSpaceDE/>
        <w:autoSpaceDN/>
        <w:bidi w:val="0"/>
        <w:ind w:left="560"/>
        <w:rPr>
          <w:rFonts w:hint="default" w:ascii="Times New Roman" w:hAnsi="Times New Roman" w:cs="Times New Roman"/>
        </w:rPr>
      </w:pPr>
    </w:p>
    <w:p>
      <w:pPr>
        <w:pStyle w:val="15"/>
        <w:keepNext w:val="0"/>
        <w:keepLines w:val="0"/>
        <w:pageBreakBefore w:val="0"/>
        <w:widowControl w:val="0"/>
        <w:kinsoku/>
        <w:wordWrap/>
        <w:overflowPunct/>
        <w:topLinePunct w:val="0"/>
        <w:autoSpaceDE/>
        <w:autoSpaceDN/>
        <w:bidi w:val="0"/>
        <w:ind w:left="560"/>
        <w:rPr>
          <w:rFonts w:hint="default" w:ascii="Times New Roman" w:hAnsi="Times New Roman" w:cs="Times New Roman"/>
        </w:rPr>
      </w:pPr>
    </w:p>
    <w:p>
      <w:pPr>
        <w:pStyle w:val="15"/>
        <w:keepNext w:val="0"/>
        <w:keepLines w:val="0"/>
        <w:pageBreakBefore w:val="0"/>
        <w:widowControl w:val="0"/>
        <w:kinsoku/>
        <w:wordWrap/>
        <w:overflowPunct/>
        <w:topLinePunct w:val="0"/>
        <w:autoSpaceDE/>
        <w:autoSpaceDN/>
        <w:bidi w:val="0"/>
        <w:ind w:left="560"/>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楷体" w:cs="Times New Roman"/>
          <w:b/>
          <w:szCs w:val="28"/>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方正小标宋简体" w:cs="Times New Roman"/>
          <w:sz w:val="56"/>
          <w:szCs w:val="36"/>
        </w:rPr>
      </w:pPr>
      <w:r>
        <w:rPr>
          <w:rFonts w:hint="default" w:ascii="Times New Roman" w:hAnsi="Times New Roman" w:eastAsia="方正小标宋简体" w:cs="Times New Roman"/>
          <w:sz w:val="56"/>
          <w:szCs w:val="36"/>
        </w:rPr>
        <w:t>平阳县综合交通运输“十四五”</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方正小标宋简体" w:cs="Times New Roman"/>
          <w:sz w:val="56"/>
          <w:szCs w:val="36"/>
        </w:rPr>
      </w:pPr>
      <w:r>
        <w:rPr>
          <w:rFonts w:hint="default" w:ascii="Times New Roman" w:hAnsi="Times New Roman" w:eastAsia="方正小标宋简体" w:cs="Times New Roman"/>
          <w:sz w:val="56"/>
          <w:szCs w:val="36"/>
        </w:rPr>
        <w:t>发展规划</w:t>
      </w:r>
    </w:p>
    <w:p>
      <w:pPr>
        <w:keepNext w:val="0"/>
        <w:keepLines w:val="0"/>
        <w:pageBreakBefore w:val="0"/>
        <w:widowControl w:val="0"/>
        <w:kinsoku/>
        <w:wordWrap/>
        <w:overflowPunct/>
        <w:topLinePunct w:val="0"/>
        <w:autoSpaceDE/>
        <w:autoSpaceDN/>
        <w:bidi w:val="0"/>
        <w:snapToGrid/>
        <w:spacing w:line="240" w:lineRule="auto"/>
        <w:ind w:firstLine="0" w:firstLineChars="0"/>
        <w:jc w:val="center"/>
        <w:rPr>
          <w:rFonts w:hint="default" w:ascii="Times New Roman" w:hAnsi="Times New Roman" w:eastAsia="方正小标宋简体" w:cs="Times New Roman"/>
          <w:sz w:val="52"/>
          <w:szCs w:val="52"/>
        </w:rPr>
      </w:pPr>
    </w:p>
    <w:p>
      <w:pPr>
        <w:keepNext w:val="0"/>
        <w:keepLines w:val="0"/>
        <w:pageBreakBefore w:val="0"/>
        <w:widowControl w:val="0"/>
        <w:kinsoku/>
        <w:wordWrap/>
        <w:overflowPunct/>
        <w:topLinePunct w:val="0"/>
        <w:autoSpaceDE/>
        <w:autoSpaceDN/>
        <w:bidi w:val="0"/>
        <w:snapToGrid/>
        <w:spacing w:line="240" w:lineRule="auto"/>
        <w:ind w:firstLine="0" w:firstLineChars="0"/>
        <w:jc w:val="center"/>
        <w:rPr>
          <w:rFonts w:hint="default" w:ascii="Times New Roman" w:hAnsi="Times New Roman" w:eastAsia="方正小标宋简体" w:cs="Times New Roman"/>
          <w:sz w:val="52"/>
          <w:szCs w:val="52"/>
        </w:rPr>
      </w:pPr>
    </w:p>
    <w:p>
      <w:pPr>
        <w:keepNext w:val="0"/>
        <w:keepLines w:val="0"/>
        <w:pageBreakBefore w:val="0"/>
        <w:widowControl w:val="0"/>
        <w:kinsoku/>
        <w:wordWrap/>
        <w:overflowPunct/>
        <w:topLinePunct w:val="0"/>
        <w:autoSpaceDE/>
        <w:autoSpaceDN/>
        <w:bidi w:val="0"/>
        <w:snapToGrid/>
        <w:spacing w:line="240" w:lineRule="auto"/>
        <w:ind w:firstLine="0" w:firstLineChars="0"/>
        <w:jc w:val="center"/>
        <w:rPr>
          <w:rFonts w:hint="default" w:ascii="Times New Roman" w:hAnsi="Times New Roman" w:eastAsia="方正小标宋简体" w:cs="Times New Roman"/>
          <w:sz w:val="52"/>
          <w:szCs w:val="52"/>
        </w:rPr>
      </w:pPr>
    </w:p>
    <w:p>
      <w:pPr>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方正小标宋简体" w:cs="Times New Roman"/>
          <w:sz w:val="52"/>
          <w:szCs w:val="52"/>
        </w:rPr>
      </w:pPr>
    </w:p>
    <w:p>
      <w:pPr>
        <w:keepNext w:val="0"/>
        <w:keepLines w:val="0"/>
        <w:pageBreakBefore w:val="0"/>
        <w:widowControl w:val="0"/>
        <w:kinsoku/>
        <w:wordWrap/>
        <w:overflowPunct/>
        <w:topLinePunct w:val="0"/>
        <w:autoSpaceDE/>
        <w:autoSpaceDN/>
        <w:bidi w:val="0"/>
        <w:snapToGrid/>
        <w:spacing w:line="240" w:lineRule="auto"/>
        <w:ind w:firstLine="0" w:firstLineChars="0"/>
        <w:jc w:val="center"/>
        <w:rPr>
          <w:rFonts w:hint="default" w:ascii="Times New Roman" w:hAnsi="Times New Roman" w:eastAsia="方正小标宋简体" w:cs="Times New Roman"/>
          <w:sz w:val="52"/>
          <w:szCs w:val="52"/>
        </w:rPr>
      </w:pPr>
    </w:p>
    <w:p>
      <w:pPr>
        <w:pStyle w:val="2"/>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方正小标宋简体" w:cs="Times New Roman"/>
          <w:sz w:val="52"/>
          <w:szCs w:val="52"/>
        </w:rPr>
      </w:pPr>
    </w:p>
    <w:p>
      <w:pPr>
        <w:pStyle w:val="2"/>
        <w:keepNext w:val="0"/>
        <w:keepLines w:val="0"/>
        <w:pageBreakBefore w:val="0"/>
        <w:widowControl w:val="0"/>
        <w:kinsoku/>
        <w:wordWrap/>
        <w:overflowPunct/>
        <w:topLinePunct w:val="0"/>
        <w:autoSpaceDE/>
        <w:autoSpaceDN/>
        <w:bidi w:val="0"/>
        <w:rPr>
          <w:rFonts w:hint="default" w:ascii="Times New Roman" w:hAnsi="Times New Roman" w:eastAsia="方正小标宋简体" w:cs="Times New Roman"/>
          <w:sz w:val="52"/>
          <w:szCs w:val="52"/>
        </w:rPr>
      </w:pPr>
    </w:p>
    <w:p>
      <w:pPr>
        <w:pStyle w:val="2"/>
        <w:keepNext w:val="0"/>
        <w:keepLines w:val="0"/>
        <w:pageBreakBefore w:val="0"/>
        <w:widowControl w:val="0"/>
        <w:kinsoku/>
        <w:wordWrap/>
        <w:overflowPunct/>
        <w:topLinePunct w:val="0"/>
        <w:autoSpaceDE/>
        <w:autoSpaceDN/>
        <w:bidi w:val="0"/>
        <w:rPr>
          <w:rFonts w:hint="default" w:ascii="Times New Roman" w:hAnsi="Times New Roman" w:eastAsia="方正小标宋简体" w:cs="Times New Roman"/>
          <w:sz w:val="52"/>
          <w:szCs w:val="52"/>
        </w:rPr>
      </w:pPr>
    </w:p>
    <w:p>
      <w:pPr>
        <w:pStyle w:val="2"/>
        <w:keepNext w:val="0"/>
        <w:keepLines w:val="0"/>
        <w:pageBreakBefore w:val="0"/>
        <w:widowControl w:val="0"/>
        <w:kinsoku/>
        <w:wordWrap/>
        <w:overflowPunct/>
        <w:topLinePunct w:val="0"/>
        <w:autoSpaceDE/>
        <w:autoSpaceDN/>
        <w:bidi w:val="0"/>
        <w:rPr>
          <w:rFonts w:hint="default" w:ascii="Times New Roman" w:hAnsi="Times New Roman" w:eastAsia="方正小标宋简体" w:cs="Times New Roman"/>
          <w:sz w:val="52"/>
          <w:szCs w:val="52"/>
        </w:rPr>
      </w:pPr>
    </w:p>
    <w:p>
      <w:pPr>
        <w:pStyle w:val="2"/>
        <w:keepNext w:val="0"/>
        <w:keepLines w:val="0"/>
        <w:pageBreakBefore w:val="0"/>
        <w:widowControl w:val="0"/>
        <w:kinsoku/>
        <w:wordWrap/>
        <w:overflowPunct/>
        <w:topLinePunct w:val="0"/>
        <w:autoSpaceDE/>
        <w:autoSpaceDN/>
        <w:bidi w:val="0"/>
        <w:rPr>
          <w:rFonts w:hint="default" w:ascii="Times New Roman" w:hAnsi="Times New Roman" w:eastAsia="方正小标宋简体" w:cs="Times New Roman"/>
          <w:sz w:val="52"/>
          <w:szCs w:val="52"/>
        </w:rPr>
      </w:pPr>
    </w:p>
    <w:p>
      <w:pPr>
        <w:pStyle w:val="2"/>
        <w:keepNext w:val="0"/>
        <w:keepLines w:val="0"/>
        <w:pageBreakBefore w:val="0"/>
        <w:widowControl w:val="0"/>
        <w:kinsoku/>
        <w:wordWrap/>
        <w:overflowPunct/>
        <w:topLinePunct w:val="0"/>
        <w:autoSpaceDE/>
        <w:autoSpaceDN/>
        <w:bidi w:val="0"/>
        <w:rPr>
          <w:rFonts w:hint="default" w:ascii="Times New Roman" w:hAnsi="Times New Roman" w:eastAsia="方正小标宋简体" w:cs="Times New Roman"/>
          <w:sz w:val="52"/>
          <w:szCs w:val="52"/>
        </w:rPr>
      </w:pPr>
    </w:p>
    <w:p>
      <w:pPr>
        <w:pStyle w:val="2"/>
        <w:keepNext w:val="0"/>
        <w:keepLines w:val="0"/>
        <w:pageBreakBefore w:val="0"/>
        <w:widowControl w:val="0"/>
        <w:kinsoku/>
        <w:wordWrap/>
        <w:overflowPunct/>
        <w:topLinePunct w:val="0"/>
        <w:autoSpaceDE/>
        <w:autoSpaceDN/>
        <w:bidi w:val="0"/>
        <w:rPr>
          <w:rFonts w:hint="default" w:ascii="Times New Roman" w:hAnsi="Times New Roman" w:eastAsia="方正小标宋简体" w:cs="Times New Roman"/>
          <w:sz w:val="52"/>
          <w:szCs w:val="52"/>
        </w:rPr>
      </w:pPr>
    </w:p>
    <w:p>
      <w:pPr>
        <w:keepNext w:val="0"/>
        <w:keepLines w:val="0"/>
        <w:pageBreakBefore w:val="0"/>
        <w:widowControl w:val="0"/>
        <w:kinsoku/>
        <w:wordWrap/>
        <w:overflowPunct/>
        <w:topLinePunct w:val="0"/>
        <w:autoSpaceDE/>
        <w:autoSpaceDN/>
        <w:bidi w:val="0"/>
        <w:adjustRightInd/>
        <w:snapToGrid w:val="0"/>
        <w:spacing w:line="600" w:lineRule="exact"/>
        <w:ind w:firstLine="0" w:firstLineChars="0"/>
        <w:jc w:val="center"/>
        <w:textAlignment w:val="auto"/>
        <w:rPr>
          <w:rFonts w:hint="default" w:ascii="Times New Roman" w:hAnsi="Times New Roman" w:eastAsia="黑体" w:cs="Times New Roman"/>
          <w:sz w:val="36"/>
          <w:szCs w:val="36"/>
        </w:rPr>
      </w:pPr>
      <w:r>
        <w:rPr>
          <w:rFonts w:hint="default" w:ascii="Times New Roman" w:hAnsi="Times New Roman" w:eastAsia="黑体" w:cs="Times New Roman"/>
          <w:sz w:val="36"/>
          <w:szCs w:val="36"/>
        </w:rPr>
        <w:t>平阳县人民政府</w:t>
      </w:r>
    </w:p>
    <w:p>
      <w:pPr>
        <w:keepNext w:val="0"/>
        <w:keepLines w:val="0"/>
        <w:pageBreakBefore w:val="0"/>
        <w:widowControl w:val="0"/>
        <w:kinsoku/>
        <w:wordWrap/>
        <w:overflowPunct/>
        <w:topLinePunct w:val="0"/>
        <w:autoSpaceDE/>
        <w:autoSpaceDN/>
        <w:bidi w:val="0"/>
        <w:adjustRightInd/>
        <w:snapToGrid w:val="0"/>
        <w:spacing w:line="600" w:lineRule="exact"/>
        <w:ind w:firstLine="0" w:firstLineChars="0"/>
        <w:jc w:val="center"/>
        <w:textAlignment w:val="auto"/>
        <w:rPr>
          <w:rFonts w:hint="default" w:ascii="Times New Roman" w:hAnsi="Times New Roman" w:eastAsia="楷体" w:cs="Times New Roman"/>
          <w:b/>
          <w:szCs w:val="28"/>
        </w:rPr>
      </w:pPr>
      <w:r>
        <w:rPr>
          <w:rFonts w:hint="default" w:ascii="Times New Roman" w:hAnsi="Times New Roman" w:eastAsia="黑体" w:cs="Times New Roman"/>
          <w:sz w:val="36"/>
          <w:szCs w:val="36"/>
        </w:rPr>
        <w:t>二○二二年六月</w:t>
      </w:r>
    </w:p>
    <w:p>
      <w:pPr>
        <w:keepNext w:val="0"/>
        <w:keepLines w:val="0"/>
        <w:pageBreakBefore w:val="0"/>
        <w:widowControl w:val="0"/>
        <w:kinsoku/>
        <w:wordWrap/>
        <w:overflowPunct/>
        <w:topLinePunct w:val="0"/>
        <w:autoSpaceDE/>
        <w:autoSpaceDN/>
        <w:bidi w:val="0"/>
        <w:rPr>
          <w:rFonts w:hint="default" w:ascii="Times New Roman" w:hAnsi="Times New Roman" w:cs="Times New Roman"/>
          <w:szCs w:val="28"/>
        </w:rPr>
      </w:pPr>
      <w:bookmarkStart w:id="0" w:name="_Toc87427952"/>
      <w:bookmarkStart w:id="1" w:name="_Toc102660564"/>
      <w:r>
        <w:rPr>
          <w:rFonts w:hint="default" w:ascii="Times New Roman" w:hAnsi="Times New Roman" w:cs="Times New Roman"/>
          <w:szCs w:val="28"/>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550" w:lineRule="exact"/>
        <w:jc w:val="center"/>
        <w:textAlignment w:val="auto"/>
        <w:rPr>
          <w:rFonts w:hint="default" w:ascii="Times New Roman" w:hAnsi="Times New Roman" w:eastAsia="方正小标宋简体" w:cs="Times New Roman"/>
          <w:b w:val="0"/>
          <w:bCs w:val="0"/>
          <w:sz w:val="44"/>
          <w:szCs w:val="44"/>
        </w:rPr>
      </w:pPr>
      <w:r>
        <w:rPr>
          <w:rFonts w:hint="default" w:ascii="Times New Roman" w:hAnsi="Times New Roman" w:eastAsia="方正小标宋简体" w:cs="Times New Roman"/>
          <w:b w:val="0"/>
          <w:bCs w:val="0"/>
          <w:sz w:val="44"/>
          <w:szCs w:val="44"/>
        </w:rPr>
        <w:t>前</w:t>
      </w:r>
      <w:r>
        <w:rPr>
          <w:rFonts w:hint="default" w:ascii="Times New Roman" w:hAnsi="Times New Roman" w:eastAsia="方正小标宋简体" w:cs="Times New Roman"/>
          <w:b w:val="0"/>
          <w:bCs w:val="0"/>
          <w:sz w:val="44"/>
          <w:szCs w:val="44"/>
          <w:lang w:val="en-US" w:eastAsia="zh-CN"/>
        </w:rPr>
        <w:t xml:space="preserve">  </w:t>
      </w:r>
      <w:r>
        <w:rPr>
          <w:rFonts w:hint="default" w:ascii="Times New Roman" w:hAnsi="Times New Roman" w:eastAsia="方正小标宋简体" w:cs="Times New Roman"/>
          <w:b w:val="0"/>
          <w:bCs w:val="0"/>
          <w:sz w:val="44"/>
          <w:szCs w:val="44"/>
        </w:rPr>
        <w:t>言</w:t>
      </w:r>
      <w:bookmarkEnd w:id="0"/>
      <w:bookmarkEnd w:id="1"/>
    </w:p>
    <w:p>
      <w:pPr>
        <w:keepNext w:val="0"/>
        <w:keepLines w:val="0"/>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cs="Times New Roman"/>
          <w:sz w:val="32"/>
          <w:szCs w:val="32"/>
        </w:rPr>
      </w:pPr>
    </w:p>
    <w:p>
      <w:pPr>
        <w:keepNext w:val="0"/>
        <w:keepLines w:val="0"/>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交通运输是经济社会发展的“先行官”，也是国家现代化程度的重要标志。党的十九大提出了建设现代化强国的战略部署，提出了建设交通强国的重大战略决策。“十四五”时期，是我国由全面建成小康社会向基本实现社会主义现代化的关键时期，是交通运输由“基本适应”向“提质增效”的转换期，是基础设施网络完善、运输服务水平提高和转型发展的关键期，是开启全面建设交通强国新征程的起步期。</w:t>
      </w:r>
    </w:p>
    <w:p>
      <w:pPr>
        <w:keepNext w:val="0"/>
        <w:keepLines w:val="0"/>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为进一步贯彻落实交通强国、“一带一路”、“共同富裕示范区”、“四大”建设等国家及部省重大决策部署，围绕党中央“两个一百年”、浙江“两个高水平”、温州都市区“高品质”、“一体化”发展要求、紧扣平阳县“三区两中心”的总要求，适应平阳经济社会的持续快速发展需求，依据《平阳县国民经济和社会发展第十四个五年规划和二</w:t>
      </w:r>
      <w:r>
        <w:rPr>
          <w:rFonts w:hint="default" w:ascii="Times New Roman" w:hAnsi="Times New Roman" w:eastAsia="微软雅黑" w:cs="Times New Roman"/>
          <w:sz w:val="32"/>
          <w:szCs w:val="32"/>
        </w:rPr>
        <w:t>〇</w:t>
      </w:r>
      <w:r>
        <w:rPr>
          <w:rFonts w:hint="default" w:ascii="Times New Roman" w:hAnsi="Times New Roman" w:cs="Times New Roman"/>
          <w:sz w:val="32"/>
          <w:szCs w:val="32"/>
        </w:rPr>
        <w:t>三五年远景目标纲要》规划要求，为高起点谋好谋实综合交通搞运输发展的新一轮五年规划，统筹平阳公路、铁路、港口水运与其他交通运输方式的协调发展，实现相互间的衔接配套和功能互补，</w:t>
      </w:r>
      <w:r>
        <w:rPr>
          <w:rFonts w:hint="default" w:ascii="Times New Roman" w:hAnsi="Times New Roman" w:cs="Times New Roman"/>
          <w:bCs/>
          <w:sz w:val="32"/>
          <w:szCs w:val="32"/>
        </w:rPr>
        <w:t>推动平阳县综合交通运输实现更高质量发展，研究提出平阳县综合交通“十四五”发展规</w:t>
      </w:r>
      <w:r>
        <w:rPr>
          <w:rFonts w:hint="default" w:ascii="Times New Roman" w:hAnsi="Times New Roman" w:cs="Times New Roman"/>
          <w:sz w:val="32"/>
          <w:szCs w:val="32"/>
        </w:rPr>
        <w:t>划，明确“十四五”期间综合交通发展的战略目标和总体蓝图，科学有序安排交通运输发展重点任务。</w:t>
      </w:r>
    </w:p>
    <w:p>
      <w:pPr>
        <w:keepNext w:val="0"/>
        <w:keepLines w:val="0"/>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楷体" w:cs="Times New Roman"/>
          <w:b/>
          <w:szCs w:val="28"/>
        </w:rPr>
      </w:pPr>
      <w:r>
        <w:rPr>
          <w:rFonts w:hint="default" w:ascii="Times New Roman" w:hAnsi="Times New Roman" w:cs="Times New Roman"/>
          <w:sz w:val="32"/>
          <w:szCs w:val="32"/>
        </w:rPr>
        <w:t>规划范围为平阳县域，规划对象涵盖铁路、轨道、公路、港航、航空、管道、邮政、枢纽。规划期限为2021-2025年。</w:t>
      </w:r>
    </w:p>
    <w:p>
      <w:pPr>
        <w:keepNext w:val="0"/>
        <w:keepLines w:val="0"/>
        <w:pageBreakBefore w:val="0"/>
        <w:widowControl w:val="0"/>
        <w:kinsoku/>
        <w:wordWrap/>
        <w:overflowPunct/>
        <w:topLinePunct w:val="0"/>
        <w:autoSpaceDE/>
        <w:autoSpaceDN/>
        <w:bidi w:val="0"/>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left"/>
        <w:textAlignment w:val="auto"/>
        <w:rPr>
          <w:rFonts w:hint="default" w:ascii="Times New Roman" w:hAnsi="Times New Roman" w:eastAsia="楷体" w:cs="Times New Roman"/>
          <w:b/>
          <w:sz w:val="32"/>
          <w:szCs w:val="32"/>
        </w:rPr>
      </w:pPr>
      <w:r>
        <w:rPr>
          <w:rFonts w:hint="default" w:ascii="Times New Roman" w:hAnsi="Times New Roman" w:eastAsia="楷体" w:cs="Times New Roman"/>
          <w:b/>
          <w:sz w:val="32"/>
          <w:szCs w:val="32"/>
        </w:rPr>
        <w:t>编制依据</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left"/>
        <w:textAlignment w:val="auto"/>
        <w:rPr>
          <w:rFonts w:hint="default" w:ascii="Times New Roman" w:hAnsi="Times New Roman" w:eastAsia="楷体" w:cs="Times New Roman"/>
          <w:b/>
          <w:sz w:val="32"/>
          <w:szCs w:val="32"/>
        </w:rPr>
      </w:pP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《交通强国建设纲要》</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《浙江省综合立体交通网络规划（2021-2050）》</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全面推进高水平交通强省建设动员大会会议精神</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《关于制定浙江省国民经济和社会发展第十四个五年规划和二</w:t>
      </w:r>
      <w:r>
        <w:rPr>
          <w:rFonts w:hint="default" w:ascii="Times New Roman" w:hAnsi="Times New Roman" w:eastAsia="微软雅黑" w:cs="Times New Roman"/>
          <w:sz w:val="32"/>
          <w:szCs w:val="32"/>
        </w:rPr>
        <w:t>〇</w:t>
      </w:r>
      <w:r>
        <w:rPr>
          <w:rFonts w:hint="default" w:ascii="Times New Roman" w:hAnsi="Times New Roman" w:cs="Times New Roman"/>
          <w:sz w:val="32"/>
          <w:szCs w:val="32"/>
        </w:rPr>
        <w:t>三五年远景目标的建议》</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《浙江省综合交通运输发展“十四五”规划》</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《浙江省高速公路网中长期布局规划》</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《浙江省普通省道公路网布局规划（2020-2050）》</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《温州市综合立体交通网规划（2021-2050年）》</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《温州综合交通运输“十四五”发展规划》</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《平阳县国民经济和社会发展第十四个五年规划和二</w:t>
      </w:r>
      <w:r>
        <w:rPr>
          <w:rFonts w:hint="default" w:ascii="Times New Roman" w:hAnsi="Times New Roman" w:eastAsia="微软雅黑" w:cs="Times New Roman"/>
          <w:sz w:val="32"/>
          <w:szCs w:val="32"/>
        </w:rPr>
        <w:t>〇</w:t>
      </w:r>
      <w:r>
        <w:rPr>
          <w:rFonts w:hint="default" w:ascii="Times New Roman" w:hAnsi="Times New Roman" w:cs="Times New Roman"/>
          <w:sz w:val="32"/>
          <w:szCs w:val="32"/>
        </w:rPr>
        <w:t>三五年远景目标》（2021-2035）</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《平阳县域总体规划修编（2006--2020）》</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《平阳县综合交通运输“十三五”发展规划》</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《平阳县历年统计年鉴》</w:t>
      </w:r>
    </w:p>
    <w:p>
      <w:pPr>
        <w:keepNext w:val="0"/>
        <w:keepLines w:val="0"/>
        <w:pageBreakBefore w:val="0"/>
        <w:widowControl w:val="0"/>
        <w:kinsoku/>
        <w:wordWrap/>
        <w:overflowPunct/>
        <w:topLinePunct w:val="0"/>
        <w:autoSpaceDE/>
        <w:autoSpaceDN/>
        <w:bidi w:val="0"/>
        <w:rPr>
          <w:rFonts w:hint="default" w:ascii="Times New Roman" w:hAnsi="Times New Roman" w:cs="Times New Roman"/>
        </w:rPr>
      </w:pPr>
      <w:r>
        <w:rPr>
          <w:rFonts w:hint="default" w:ascii="Times New Roman" w:hAnsi="Times New Roman" w:cs="Times New Roman"/>
        </w:rPr>
        <w:br w:type="page"/>
      </w:r>
    </w:p>
    <w:p>
      <w:pPr>
        <w:snapToGrid/>
        <w:spacing w:line="480" w:lineRule="exact"/>
        <w:ind w:firstLine="0" w:firstLineChars="0"/>
        <w:jc w:val="center"/>
        <w:rPr>
          <w:rFonts w:hint="eastAsia" w:ascii="黑体" w:hAnsi="黑体" w:eastAsia="黑体"/>
          <w:sz w:val="44"/>
          <w:szCs w:val="44"/>
          <w:lang w:val="zh-CN"/>
        </w:rPr>
      </w:pPr>
      <w:r>
        <w:rPr>
          <w:rFonts w:hint="eastAsia" w:ascii="黑体" w:hAnsi="黑体" w:eastAsia="黑体"/>
          <w:sz w:val="44"/>
          <w:szCs w:val="44"/>
          <w:lang w:val="zh-CN"/>
        </w:rPr>
        <w:t>目  录</w:t>
      </w:r>
    </w:p>
    <w:p>
      <w:pPr>
        <w:pStyle w:val="2"/>
        <w:keepNext w:val="0"/>
        <w:keepLines w:val="0"/>
        <w:pageBreakBefore w:val="0"/>
        <w:widowControl w:val="0"/>
        <w:kinsoku/>
        <w:wordWrap/>
        <w:overflowPunct/>
        <w:topLinePunct w:val="0"/>
        <w:autoSpaceDE/>
        <w:autoSpaceDN/>
        <w:bidi w:val="0"/>
        <w:adjustRightInd/>
        <w:snapToGrid w:val="0"/>
        <w:spacing w:line="560" w:lineRule="exact"/>
        <w:ind w:left="0" w:leftChars="0" w:firstLine="0" w:firstLineChars="0"/>
        <w:textAlignment w:val="auto"/>
        <w:rPr>
          <w:rFonts w:hint="eastAsia" w:ascii="仿宋_GB2312" w:hAnsi="仿宋_GB2312" w:eastAsia="仿宋_GB2312" w:cs="仿宋_GB2312"/>
          <w:i w:val="0"/>
          <w:iCs w:val="0"/>
          <w:sz w:val="32"/>
          <w:szCs w:val="32"/>
        </w:rPr>
      </w:pP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0" w:firstLineChars="0"/>
        <w:textAlignment w:val="auto"/>
        <w:rPr>
          <w:rFonts w:hint="default" w:ascii="仿宋_GB2312" w:hAnsi="仿宋_GB2312" w:eastAsia="仿宋_GB2312" w:cs="仿宋_GB2312"/>
          <w:i w:val="0"/>
          <w:iCs w:val="0"/>
          <w:sz w:val="32"/>
          <w:szCs w:val="32"/>
          <w:lang w:val="en-US"/>
        </w:rPr>
      </w:pPr>
      <w:r>
        <w:rPr>
          <w:rFonts w:hint="eastAsia" w:ascii="仿宋_GB2312" w:hAnsi="仿宋_GB2312" w:eastAsia="仿宋_GB2312" w:cs="仿宋_GB2312"/>
          <w:i w:val="0"/>
          <w:iCs w:val="0"/>
          <w:sz w:val="32"/>
          <w:szCs w:val="32"/>
        </w:rPr>
        <w:t>一、发展基础</w:t>
      </w:r>
      <w:r>
        <w:rPr>
          <w:rFonts w:hint="eastAsia" w:ascii="仿宋_GB2312" w:hAnsi="仿宋_GB2312" w:cs="仿宋_GB2312"/>
          <w:i w:val="0"/>
          <w:iCs w:val="0"/>
          <w:sz w:val="32"/>
          <w:szCs w:val="32"/>
          <w:lang w:val="en-US" w:eastAsia="zh-CN"/>
        </w:rPr>
        <w:tab/>
      </w:r>
      <w:r>
        <w:rPr>
          <w:rFonts w:hint="eastAsia" w:ascii="仿宋_GB2312" w:hAnsi="仿宋_GB2312" w:cs="仿宋_GB2312"/>
          <w:i w:val="0"/>
          <w:iCs w:val="0"/>
          <w:sz w:val="32"/>
          <w:szCs w:val="32"/>
          <w:lang w:val="en-US" w:eastAsia="zh-CN"/>
        </w:rPr>
        <w:t>7</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（一）总体评价</w:t>
      </w:r>
      <w:r>
        <w:rPr>
          <w:rFonts w:hint="eastAsia" w:ascii="仿宋_GB2312" w:hAnsi="仿宋_GB2312" w:cs="仿宋_GB2312"/>
          <w:i w:val="0"/>
          <w:iCs w:val="0"/>
          <w:sz w:val="32"/>
          <w:szCs w:val="32"/>
          <w:lang w:val="en-US" w:eastAsia="zh-CN"/>
        </w:rPr>
        <w:tab/>
      </w:r>
      <w:r>
        <w:rPr>
          <w:rFonts w:hint="eastAsia" w:ascii="仿宋_GB2312" w:hAnsi="仿宋_GB2312" w:cs="仿宋_GB2312"/>
          <w:i w:val="0"/>
          <w:iCs w:val="0"/>
          <w:sz w:val="32"/>
          <w:szCs w:val="32"/>
          <w:lang w:val="en-US" w:eastAsia="zh-CN"/>
        </w:rPr>
        <w:t>7</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（二）发展成就</w:t>
      </w:r>
      <w:r>
        <w:rPr>
          <w:rFonts w:hint="eastAsia" w:ascii="仿宋_GB2312" w:hAnsi="仿宋_GB2312" w:cs="仿宋_GB2312"/>
          <w:i w:val="0"/>
          <w:iCs w:val="0"/>
          <w:sz w:val="32"/>
          <w:szCs w:val="32"/>
          <w:lang w:val="en-US" w:eastAsia="zh-CN"/>
        </w:rPr>
        <w:tab/>
      </w:r>
      <w:r>
        <w:rPr>
          <w:rFonts w:hint="eastAsia" w:ascii="仿宋_GB2312" w:hAnsi="仿宋_GB2312" w:cs="仿宋_GB2312"/>
          <w:i w:val="0"/>
          <w:iCs w:val="0"/>
          <w:sz w:val="32"/>
          <w:szCs w:val="32"/>
          <w:lang w:val="en-US" w:eastAsia="zh-CN"/>
        </w:rPr>
        <w:t>8</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（三）存在问题</w:t>
      </w:r>
      <w:r>
        <w:rPr>
          <w:rFonts w:hint="eastAsia" w:ascii="仿宋_GB2312" w:hAnsi="仿宋_GB2312" w:cs="仿宋_GB2312"/>
          <w:i w:val="0"/>
          <w:iCs w:val="0"/>
          <w:sz w:val="32"/>
          <w:szCs w:val="32"/>
          <w:lang w:val="en-US" w:eastAsia="zh-CN"/>
        </w:rPr>
        <w:tab/>
      </w:r>
      <w:r>
        <w:rPr>
          <w:rFonts w:hint="eastAsia" w:ascii="仿宋_GB2312" w:hAnsi="仿宋_GB2312" w:cs="仿宋_GB2312"/>
          <w:i w:val="0"/>
          <w:iCs w:val="0"/>
          <w:sz w:val="32"/>
          <w:szCs w:val="32"/>
          <w:lang w:val="en-US" w:eastAsia="zh-CN"/>
        </w:rPr>
        <w:t>15</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0" w:firstLineChars="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二、发展环境</w:t>
      </w:r>
      <w:r>
        <w:rPr>
          <w:rFonts w:hint="eastAsia" w:ascii="仿宋_GB2312" w:hAnsi="仿宋_GB2312" w:cs="仿宋_GB2312"/>
          <w:i w:val="0"/>
          <w:iCs w:val="0"/>
          <w:sz w:val="32"/>
          <w:szCs w:val="32"/>
          <w:lang w:val="en-US" w:eastAsia="zh-CN"/>
        </w:rPr>
        <w:tab/>
      </w:r>
      <w:r>
        <w:rPr>
          <w:rFonts w:hint="eastAsia" w:ascii="仿宋_GB2312" w:hAnsi="仿宋_GB2312" w:cs="仿宋_GB2312"/>
          <w:i w:val="0"/>
          <w:iCs w:val="0"/>
          <w:sz w:val="32"/>
          <w:szCs w:val="32"/>
          <w:lang w:val="en-US" w:eastAsia="zh-CN"/>
        </w:rPr>
        <w:t>19</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（一）形势要求</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19</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（二）发展需求</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22</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0" w:firstLineChars="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三、发展思路</w:t>
      </w:r>
      <w:r>
        <w:rPr>
          <w:rFonts w:hint="eastAsia" w:ascii="仿宋_GB2312" w:hAnsi="仿宋_GB2312" w:cs="仿宋_GB2312"/>
          <w:i w:val="0"/>
          <w:iCs w:val="0"/>
          <w:sz w:val="32"/>
          <w:szCs w:val="32"/>
          <w:lang w:val="en-US" w:eastAsia="zh-CN"/>
        </w:rPr>
        <w:tab/>
      </w:r>
      <w:r>
        <w:rPr>
          <w:rFonts w:hint="eastAsia" w:ascii="仿宋_GB2312" w:hAnsi="仿宋_GB2312" w:cs="仿宋_GB2312"/>
          <w:i w:val="0"/>
          <w:iCs w:val="0"/>
          <w:sz w:val="32"/>
          <w:szCs w:val="32"/>
          <w:lang w:val="en-US" w:eastAsia="zh-CN"/>
        </w:rPr>
        <w:t>27</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（一）指导思想</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27</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（二）基本原则</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27</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（三）发展目标</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28</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0" w:firstLineChars="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四、综合交通布局方案</w:t>
      </w:r>
      <w:r>
        <w:rPr>
          <w:rFonts w:hint="eastAsia" w:ascii="仿宋_GB2312" w:hAnsi="仿宋_GB2312" w:cs="仿宋_GB2312"/>
          <w:i w:val="0"/>
          <w:iCs w:val="0"/>
          <w:sz w:val="32"/>
          <w:szCs w:val="32"/>
          <w:lang w:val="en-US" w:eastAsia="zh-CN"/>
        </w:rPr>
        <w:tab/>
      </w:r>
      <w:r>
        <w:rPr>
          <w:rFonts w:hint="eastAsia" w:ascii="仿宋_GB2312" w:hAnsi="仿宋_GB2312" w:cs="仿宋_GB2312"/>
          <w:i w:val="0"/>
          <w:iCs w:val="0"/>
          <w:sz w:val="32"/>
          <w:szCs w:val="32"/>
          <w:lang w:val="en-US" w:eastAsia="zh-CN"/>
        </w:rPr>
        <w:t>31</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（一）布局原则</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31</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（二）布局思路</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31</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（三）布局方案</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32</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0" w:firstLineChars="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五、“十四五”发展重点及任务</w:t>
      </w:r>
      <w:r>
        <w:rPr>
          <w:rFonts w:hint="eastAsia" w:ascii="仿宋_GB2312" w:hAnsi="仿宋_GB2312" w:cs="仿宋_GB2312"/>
          <w:i w:val="0"/>
          <w:iCs w:val="0"/>
          <w:sz w:val="32"/>
          <w:szCs w:val="32"/>
          <w:lang w:val="en-US" w:eastAsia="zh-CN"/>
        </w:rPr>
        <w:tab/>
      </w:r>
      <w:r>
        <w:rPr>
          <w:rFonts w:hint="eastAsia" w:ascii="仿宋_GB2312" w:hAnsi="仿宋_GB2312" w:cs="仿宋_GB2312"/>
          <w:i w:val="0"/>
          <w:iCs w:val="0"/>
          <w:sz w:val="32"/>
          <w:szCs w:val="32"/>
          <w:lang w:val="en-US" w:eastAsia="zh-CN"/>
        </w:rPr>
        <w:t>47</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638" w:leftChars="228" w:firstLine="0" w:firstLineChars="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任务1：谋划区域一体化交通布局，融入省市级交通大通道</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47</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任务2：构筑换乘便捷、运转高效的客运服务体系</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55</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任务3：打造集约整合、协调衔接的货运服务体系</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57</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任务4：搭建创新融合多场景应用的智慧交通体系</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58</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任务5：建设环境友好的绿色安全交通体系</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59</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任务6：加强交通行业管理建设</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61</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0" w:firstLineChars="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六、环境影响评价</w:t>
      </w:r>
      <w:r>
        <w:rPr>
          <w:rFonts w:hint="eastAsia" w:ascii="仿宋_GB2312" w:hAnsi="仿宋_GB2312" w:cs="仿宋_GB2312"/>
          <w:i w:val="0"/>
          <w:iCs w:val="0"/>
          <w:sz w:val="32"/>
          <w:szCs w:val="32"/>
          <w:lang w:val="en-US" w:eastAsia="zh-CN"/>
        </w:rPr>
        <w:tab/>
      </w:r>
      <w:r>
        <w:rPr>
          <w:rFonts w:hint="eastAsia" w:ascii="仿宋_GB2312" w:hAnsi="仿宋_GB2312" w:cs="仿宋_GB2312"/>
          <w:i w:val="0"/>
          <w:iCs w:val="0"/>
          <w:sz w:val="32"/>
          <w:szCs w:val="32"/>
          <w:lang w:val="en-US" w:eastAsia="zh-CN"/>
        </w:rPr>
        <w:t>64</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（一）规划实施的环境影响分析</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64</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（二）预防和减缓不良环境影响的措施</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64</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0" w:firstLineChars="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七、保障措施</w:t>
      </w:r>
      <w:r>
        <w:rPr>
          <w:rFonts w:hint="eastAsia" w:ascii="仿宋_GB2312" w:hAnsi="仿宋_GB2312" w:cs="仿宋_GB2312"/>
          <w:i w:val="0"/>
          <w:iCs w:val="0"/>
          <w:sz w:val="32"/>
          <w:szCs w:val="32"/>
          <w:lang w:val="en-US" w:eastAsia="zh-CN"/>
        </w:rPr>
        <w:tab/>
      </w:r>
      <w:r>
        <w:rPr>
          <w:rFonts w:hint="eastAsia" w:ascii="仿宋_GB2312" w:hAnsi="仿宋_GB2312" w:cs="仿宋_GB2312"/>
          <w:i w:val="0"/>
          <w:iCs w:val="0"/>
          <w:sz w:val="32"/>
          <w:szCs w:val="32"/>
          <w:lang w:val="en-US" w:eastAsia="zh-CN"/>
        </w:rPr>
        <w:t>66</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（一）加强组织指导</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66</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（二）加强改革创新</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66</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（三）加强要素保障</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66</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（四）完善监督考核</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67</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0" w:firstLineChars="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八、附表：平阳县 “十四五”交通投资项目汇总表</w:t>
      </w:r>
      <w:r>
        <w:rPr>
          <w:rFonts w:hint="eastAsia" w:ascii="仿宋_GB2312" w:hAnsi="仿宋_GB2312" w:cs="仿宋_GB2312"/>
          <w:i w:val="0"/>
          <w:iCs w:val="0"/>
          <w:sz w:val="32"/>
          <w:szCs w:val="32"/>
          <w:lang w:val="en-US" w:eastAsia="zh-CN"/>
        </w:rPr>
        <w:tab/>
      </w:r>
      <w:r>
        <w:rPr>
          <w:rFonts w:hint="eastAsia" w:ascii="仿宋_GB2312" w:hAnsi="仿宋_GB2312" w:cs="仿宋_GB2312"/>
          <w:i w:val="0"/>
          <w:iCs w:val="0"/>
          <w:sz w:val="32"/>
          <w:szCs w:val="32"/>
          <w:lang w:val="en-US" w:eastAsia="zh-CN"/>
        </w:rPr>
        <w:t>69</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平阳县综合交通运输“十四五”发展规划建设总规模表</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69</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638" w:leftChars="228" w:firstLine="0" w:firstLineChars="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平阳县综合交通运输“十四五”发展规划项目表（实施类）</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70</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638" w:leftChars="228" w:firstLine="0" w:firstLineChars="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平阳县综合交通运输“十四五”发展规划项目表（预备类）</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72</w:t>
      </w:r>
    </w:p>
    <w:p>
      <w:pPr>
        <w:keepNext w:val="0"/>
        <w:keepLines w:val="0"/>
        <w:pageBreakBefore w:val="0"/>
        <w:widowControl w:val="0"/>
        <w:kinsoku/>
        <w:wordWrap/>
        <w:overflowPunct/>
        <w:topLinePunct w:val="0"/>
        <w:autoSpaceDE/>
        <w:autoSpaceDN/>
        <w:bidi w:val="0"/>
        <w:adjustRightInd/>
        <w:snapToGrid w:val="0"/>
        <w:spacing w:line="560" w:lineRule="exact"/>
        <w:ind w:left="0" w:leftChars="0" w:firstLine="0" w:firstLineChars="0"/>
        <w:jc w:val="center"/>
        <w:textAlignment w:val="auto"/>
        <w:rPr>
          <w:rFonts w:hint="default" w:ascii="Times New Roman" w:hAnsi="Times New Roman" w:eastAsia="黑体" w:cs="Times New Roman"/>
          <w:b w:val="0"/>
          <w:bCs w:val="0"/>
          <w:sz w:val="32"/>
          <w:szCs w:val="32"/>
        </w:rPr>
      </w:pPr>
      <w:r>
        <w:rPr>
          <w:rFonts w:hint="default" w:ascii="Times New Roman" w:hAnsi="Times New Roman" w:eastAsia="楷体" w:cs="Times New Roman"/>
          <w:i/>
          <w:iCs/>
          <w:szCs w:val="28"/>
        </w:rPr>
        <w:br w:type="page"/>
      </w:r>
      <w:bookmarkStart w:id="2" w:name="_Toc35595715"/>
      <w:bookmarkStart w:id="3" w:name="_Toc38640993"/>
      <w:bookmarkStart w:id="4" w:name="_Toc102660565"/>
      <w:r>
        <w:rPr>
          <w:rFonts w:hint="default" w:ascii="Times New Roman" w:hAnsi="Times New Roman" w:eastAsia="黑体" w:cs="Times New Roman"/>
          <w:i/>
          <w:iCs/>
          <w:sz w:val="32"/>
          <w:szCs w:val="32"/>
          <w:lang w:eastAsia="zh-CN"/>
        </w:rPr>
        <w:t>一、</w:t>
      </w:r>
      <w:r>
        <w:rPr>
          <w:rFonts w:hint="default" w:ascii="Times New Roman" w:hAnsi="Times New Roman" w:eastAsia="黑体" w:cs="Times New Roman"/>
          <w:b w:val="0"/>
          <w:bCs w:val="0"/>
          <w:sz w:val="32"/>
          <w:szCs w:val="32"/>
        </w:rPr>
        <w:t>发展基础</w:t>
      </w:r>
      <w:bookmarkEnd w:id="2"/>
      <w:bookmarkEnd w:id="3"/>
      <w:bookmarkEnd w:id="4"/>
    </w:p>
    <w:p>
      <w:pPr>
        <w:keepNext w:val="0"/>
        <w:keepLines w:val="0"/>
        <w:pageBreakBefore w:val="0"/>
        <w:widowControl w:val="0"/>
        <w:kinsoku/>
        <w:wordWrap/>
        <w:overflowPunct/>
        <w:topLinePunct w:val="0"/>
        <w:autoSpaceDE/>
        <w:autoSpaceDN/>
        <w:bidi w:val="0"/>
        <w:adjustRightInd/>
        <w:snapToGrid w:val="0"/>
        <w:spacing w:line="560" w:lineRule="exact"/>
        <w:ind w:left="0" w:leftChars="0" w:firstLine="640" w:firstLineChars="200"/>
        <w:jc w:val="left"/>
        <w:textAlignment w:val="auto"/>
        <w:rPr>
          <w:rFonts w:hint="default" w:ascii="Times New Roman" w:hAnsi="Times New Roman" w:eastAsia="楷体_GB2312" w:cs="Times New Roman"/>
          <w:i w:val="0"/>
          <w:iCs w:val="0"/>
          <w:sz w:val="32"/>
          <w:szCs w:val="32"/>
          <w:lang w:eastAsia="zh-CN"/>
        </w:rPr>
      </w:pPr>
      <w:bookmarkStart w:id="5" w:name="_Toc102660566"/>
      <w:bookmarkStart w:id="6" w:name="_Toc38640994"/>
      <w:r>
        <w:rPr>
          <w:rFonts w:hint="default" w:ascii="Times New Roman" w:hAnsi="Times New Roman" w:eastAsia="楷体_GB2312" w:cs="Times New Roman"/>
          <w:i w:val="0"/>
          <w:iCs w:val="0"/>
          <w:sz w:val="32"/>
          <w:szCs w:val="32"/>
          <w:lang w:eastAsia="zh-CN"/>
        </w:rPr>
        <w:t>（一）总体评价</w:t>
      </w:r>
      <w:bookmarkEnd w:id="5"/>
      <w:bookmarkEnd w:id="6"/>
    </w:p>
    <w:p>
      <w:pPr>
        <w:keepNext w:val="0"/>
        <w:keepLines w:val="0"/>
        <w:pageBreakBefore w:val="0"/>
        <w:widowControl w:val="0"/>
        <w:kinsoku/>
        <w:wordWrap/>
        <w:overflowPunct/>
        <w:topLinePunct w:val="0"/>
        <w:autoSpaceDE/>
        <w:autoSpaceDN/>
        <w:bidi w:val="0"/>
        <w:adjustRightInd/>
        <w:snapToGrid w:val="0"/>
        <w:spacing w:line="560" w:lineRule="exact"/>
        <w:ind w:left="0" w:firstLine="56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期间，平阳县紧紧围绕全省“两富”、“两美”现代化浙江总战略，立足于做好“三个服务”，全面落实“四个交通”、“五大建设”以及浙江省内河航运复兴计划，以“互联互通”为核心，协调发展，稳中求进，全力打造温州南部枢纽。以</w:t>
      </w:r>
      <w:r>
        <w:rPr>
          <w:rFonts w:hint="default" w:ascii="Times New Roman" w:hAnsi="Times New Roman" w:cs="Times New Roman"/>
          <w:b/>
          <w:sz w:val="32"/>
          <w:szCs w:val="32"/>
        </w:rPr>
        <w:t>“互联互通”</w:t>
      </w:r>
      <w:r>
        <w:rPr>
          <w:rFonts w:hint="default" w:ascii="Times New Roman" w:hAnsi="Times New Roman" w:cs="Times New Roman"/>
          <w:sz w:val="32"/>
          <w:szCs w:val="32"/>
        </w:rPr>
        <w:t>为核心，按照“一中心两通道”战略部署，着力搭建</w:t>
      </w:r>
      <w:r>
        <w:rPr>
          <w:rFonts w:hint="default" w:ascii="Times New Roman" w:hAnsi="Times New Roman" w:cs="Times New Roman"/>
          <w:b/>
          <w:bCs/>
          <w:sz w:val="32"/>
          <w:szCs w:val="32"/>
        </w:rPr>
        <w:t>“三大高速、三大国道”</w:t>
      </w:r>
      <w:r>
        <w:rPr>
          <w:rFonts w:hint="default" w:ascii="Times New Roman" w:hAnsi="Times New Roman" w:cs="Times New Roman"/>
          <w:sz w:val="32"/>
          <w:szCs w:val="32"/>
        </w:rPr>
        <w:t>和</w:t>
      </w:r>
      <w:r>
        <w:rPr>
          <w:rFonts w:hint="default" w:ascii="Times New Roman" w:hAnsi="Times New Roman" w:cs="Times New Roman"/>
          <w:b/>
          <w:bCs/>
          <w:sz w:val="32"/>
          <w:szCs w:val="32"/>
        </w:rPr>
        <w:t>“一主两副多线”</w:t>
      </w:r>
      <w:r>
        <w:rPr>
          <w:rFonts w:hint="default" w:ascii="Times New Roman" w:hAnsi="Times New Roman" w:cs="Times New Roman"/>
          <w:sz w:val="32"/>
          <w:szCs w:val="32"/>
        </w:rPr>
        <w:t>交通网络，加快实现互联互通、畅速平阳。加密高速、完善路网、发展轻轨、谋划港口、提升服务，</w:t>
      </w:r>
      <w:r>
        <w:rPr>
          <w:rFonts w:hint="default" w:ascii="Times New Roman" w:hAnsi="Times New Roman" w:cs="Times New Roman"/>
          <w:b/>
          <w:sz w:val="32"/>
          <w:szCs w:val="32"/>
        </w:rPr>
        <w:t>“协调发展，稳中求进”</w:t>
      </w:r>
      <w:r>
        <w:rPr>
          <w:rFonts w:hint="default" w:ascii="Times New Roman" w:hAnsi="Times New Roman" w:cs="Times New Roman"/>
          <w:sz w:val="32"/>
          <w:szCs w:val="32"/>
        </w:rPr>
        <w:t>，全力打造温州南部枢纽，实现综合交通运输网络基本完善，运输服务效率大幅提升。形成能力充分、结构合理、高效便捷、技术先进、绿色安全的现代化综合交通运输体系，融入温州都市区“半小时交通圈”，全面适应经济社会现代化的发展需要、引领社会经济健康可持续发展，构建</w:t>
      </w:r>
      <w:r>
        <w:rPr>
          <w:rFonts w:hint="default" w:ascii="Times New Roman" w:hAnsi="Times New Roman" w:cs="Times New Roman"/>
          <w:b/>
          <w:sz w:val="32"/>
          <w:szCs w:val="32"/>
        </w:rPr>
        <w:t>“畅速平阳”</w:t>
      </w:r>
      <w:r>
        <w:rPr>
          <w:rFonts w:hint="default" w:ascii="Times New Roman" w:hAnsi="Times New Roman" w:cs="Times New Roman"/>
          <w:sz w:val="32"/>
          <w:szCs w:val="32"/>
        </w:rPr>
        <w:t>。</w:t>
      </w:r>
    </w:p>
    <w:p>
      <w:pPr>
        <w:keepNext w:val="0"/>
        <w:keepLines w:val="0"/>
        <w:pageBreakBefore w:val="0"/>
        <w:widowControl w:val="0"/>
        <w:kinsoku/>
        <w:wordWrap/>
        <w:overflowPunct/>
        <w:topLinePunct w:val="0"/>
        <w:autoSpaceDE/>
        <w:autoSpaceDN/>
        <w:bidi w:val="0"/>
        <w:adjustRightInd/>
        <w:snapToGrid w:val="0"/>
        <w:spacing w:line="560" w:lineRule="exact"/>
        <w:ind w:left="0" w:firstLine="56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时期，为适应经济社会现代化的发展需要，引领社会经济健康可持续发展，初步形成能力充分、结构合理、高效便捷、技术先进、绿色安全的现代化综合交通运输体系，融入温州都市区“半小时交通圈”，极大改善了平阳县域交通条件。交通基础设施建设不断推进，累计五年完成投资175亿元，新增公路里程82.6km，高速公路里程19.9km，全县公路里程达1732km。建成投入使用了了甬台温高速复线平阳段、绕西南高速平阳段、57省道复线、万鳌公路、万锦公路、鳌江四桥 、南麂环岛公路、南麂便民服务中心等26个项目。加快推进了瑞平苍高速平阳段、104国道西过境平阳段、228国道平阳段、平阳北互通、鳌江互通、西部红色旅游道路32个项目。全面实现了全域公交化，全县公交一体化三年任务两年完成，客车通村率100%。成为“四好农村路”省级示范县，“美丽经济交通走廊”省级达标县。</w:t>
      </w:r>
    </w:p>
    <w:p>
      <w:pPr>
        <w:keepNext w:val="0"/>
        <w:keepLines w:val="0"/>
        <w:pageBreakBefore w:val="0"/>
        <w:widowControl w:val="0"/>
        <w:kinsoku/>
        <w:wordWrap/>
        <w:overflowPunct/>
        <w:topLinePunct w:val="0"/>
        <w:autoSpaceDE/>
        <w:autoSpaceDN/>
        <w:bidi w:val="0"/>
        <w:adjustRightInd/>
        <w:snapToGrid w:val="0"/>
        <w:spacing w:line="560" w:lineRule="exact"/>
        <w:ind w:left="0" w:leftChars="0" w:firstLine="640" w:firstLineChars="200"/>
        <w:jc w:val="left"/>
        <w:textAlignment w:val="auto"/>
        <w:rPr>
          <w:rFonts w:hint="default" w:ascii="Times New Roman" w:hAnsi="Times New Roman" w:eastAsia="楷体_GB2312" w:cs="Times New Roman"/>
          <w:i w:val="0"/>
          <w:iCs w:val="0"/>
          <w:sz w:val="32"/>
          <w:szCs w:val="32"/>
          <w:lang w:eastAsia="zh-CN"/>
        </w:rPr>
      </w:pPr>
      <w:bookmarkStart w:id="7" w:name="_Toc102660567"/>
      <w:bookmarkStart w:id="8" w:name="_Toc38640995"/>
      <w:bookmarkStart w:id="9" w:name="_Toc35595716"/>
      <w:r>
        <w:rPr>
          <w:rFonts w:hint="default" w:ascii="Times New Roman" w:hAnsi="Times New Roman" w:eastAsia="楷体_GB2312" w:cs="Times New Roman"/>
          <w:i w:val="0"/>
          <w:iCs w:val="0"/>
          <w:sz w:val="32"/>
          <w:szCs w:val="32"/>
          <w:lang w:eastAsia="zh-CN"/>
        </w:rPr>
        <w:t>（二）发展成就</w:t>
      </w:r>
      <w:bookmarkEnd w:id="7"/>
      <w:bookmarkEnd w:id="8"/>
      <w:bookmarkEnd w:id="9"/>
    </w:p>
    <w:p>
      <w:pPr>
        <w:keepNext w:val="0"/>
        <w:keepLines w:val="0"/>
        <w:pageBreakBefore w:val="0"/>
        <w:widowControl w:val="0"/>
        <w:kinsoku/>
        <w:wordWrap/>
        <w:overflowPunct/>
        <w:topLinePunct w:val="0"/>
        <w:autoSpaceDE/>
        <w:autoSpaceDN/>
        <w:bidi w:val="0"/>
        <w:adjustRightInd/>
        <w:snapToGrid w:val="0"/>
        <w:spacing w:line="560" w:lineRule="exact"/>
        <w:ind w:left="0" w:firstLine="560"/>
        <w:jc w:val="both"/>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 xml:space="preserve">成就1：基础设施建设不断推进，交通格局基本形成 </w:t>
      </w:r>
    </w:p>
    <w:p>
      <w:pPr>
        <w:keepNext w:val="0"/>
        <w:keepLines w:val="0"/>
        <w:pageBreakBefore w:val="0"/>
        <w:widowControl w:val="0"/>
        <w:kinsoku/>
        <w:wordWrap/>
        <w:overflowPunct/>
        <w:topLinePunct w:val="0"/>
        <w:autoSpaceDE/>
        <w:autoSpaceDN/>
        <w:bidi w:val="0"/>
        <w:adjustRightInd/>
        <w:snapToGrid w:val="0"/>
        <w:spacing w:line="560" w:lineRule="exact"/>
        <w:ind w:left="0" w:firstLine="560"/>
        <w:jc w:val="both"/>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lang w:eastAsia="zh-CN"/>
        </w:rPr>
        <w:t>（</w:t>
      </w:r>
      <w:r>
        <w:rPr>
          <w:rFonts w:hint="default" w:ascii="Times New Roman" w:hAnsi="Times New Roman" w:cs="Times New Roman"/>
          <w:b w:val="0"/>
          <w:bCs w:val="0"/>
          <w:sz w:val="32"/>
          <w:szCs w:val="32"/>
          <w:lang w:val="en-US" w:eastAsia="zh-CN"/>
        </w:rPr>
        <w:t>1）</w:t>
      </w:r>
      <w:r>
        <w:rPr>
          <w:rFonts w:hint="default" w:ascii="Times New Roman" w:hAnsi="Times New Roman" w:cs="Times New Roman"/>
          <w:b w:val="0"/>
          <w:bCs w:val="0"/>
          <w:sz w:val="32"/>
          <w:szCs w:val="32"/>
        </w:rPr>
        <w:t>交通基础设施投资</w:t>
      </w:r>
    </w:p>
    <w:p>
      <w:pPr>
        <w:keepNext w:val="0"/>
        <w:keepLines w:val="0"/>
        <w:pageBreakBefore w:val="0"/>
        <w:widowControl w:val="0"/>
        <w:kinsoku/>
        <w:wordWrap/>
        <w:overflowPunct/>
        <w:topLinePunct w:val="0"/>
        <w:autoSpaceDE/>
        <w:autoSpaceDN/>
        <w:bidi w:val="0"/>
        <w:adjustRightInd/>
        <w:snapToGrid w:val="0"/>
        <w:spacing w:line="560" w:lineRule="exact"/>
        <w:ind w:left="0" w:firstLine="56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“十三五”期间，全县交通运输工作在</w:t>
      </w:r>
      <w:r>
        <w:rPr>
          <w:rFonts w:hint="default" w:cs="Times New Roman"/>
          <w:sz w:val="32"/>
          <w:szCs w:val="32"/>
          <w:lang w:val="en"/>
        </w:rPr>
        <w:t>县</w:t>
      </w:r>
      <w:r>
        <w:rPr>
          <w:rFonts w:hint="default" w:ascii="Times New Roman" w:hAnsi="Times New Roman" w:cs="Times New Roman"/>
          <w:sz w:val="32"/>
          <w:szCs w:val="32"/>
        </w:rPr>
        <w:t>、县政府的正确领导和县人大及其常委会的监督支持下，大干交通、干大交通，各项工作取得了阶段性成效。计划完成交通基础设施投资200亿元，实际完成交通基础设施投资175亿元，较“十二五”时期增长超100亿元。</w:t>
      </w:r>
    </w:p>
    <w:p>
      <w:pPr>
        <w:keepNext w:val="0"/>
        <w:keepLines w:val="0"/>
        <w:pageBreakBefore w:val="0"/>
        <w:widowControl w:val="0"/>
        <w:kinsoku/>
        <w:wordWrap/>
        <w:overflowPunct/>
        <w:topLinePunct w:val="0"/>
        <w:autoSpaceDE/>
        <w:autoSpaceDN/>
        <w:bidi w:val="0"/>
        <w:adjustRightInd/>
        <w:snapToGrid w:val="0"/>
        <w:spacing w:line="560" w:lineRule="exact"/>
        <w:ind w:left="0" w:firstLine="560"/>
        <w:jc w:val="both"/>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lang w:eastAsia="zh-CN"/>
        </w:rPr>
        <w:t>（</w:t>
      </w:r>
      <w:r>
        <w:rPr>
          <w:rFonts w:hint="default" w:ascii="Times New Roman" w:hAnsi="Times New Roman" w:cs="Times New Roman"/>
          <w:b w:val="0"/>
          <w:bCs w:val="0"/>
          <w:sz w:val="32"/>
          <w:szCs w:val="32"/>
          <w:lang w:val="en-US" w:eastAsia="zh-CN"/>
        </w:rPr>
        <w:t>2</w:t>
      </w:r>
      <w:r>
        <w:rPr>
          <w:rFonts w:hint="default" w:ascii="Times New Roman" w:hAnsi="Times New Roman" w:cs="Times New Roman"/>
          <w:b w:val="0"/>
          <w:bCs w:val="0"/>
          <w:sz w:val="32"/>
          <w:szCs w:val="32"/>
          <w:lang w:eastAsia="zh-CN"/>
        </w:rPr>
        <w:t>）</w:t>
      </w:r>
      <w:r>
        <w:rPr>
          <w:rFonts w:hint="default" w:ascii="Times New Roman" w:hAnsi="Times New Roman" w:cs="Times New Roman"/>
          <w:b w:val="0"/>
          <w:bCs w:val="0"/>
          <w:sz w:val="32"/>
          <w:szCs w:val="32"/>
        </w:rPr>
        <w:t>铁路及城市轨道网</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目前甬台温铁路平阳段全长27.03公里，在平阳境内设火车站一座，为平阳站（原鳌江站），位于鳌江镇西塘村广场路，平阳火车站设计为承担客货业务的中间站，设计等级为二级站，设计规模为站房建筑面积8000平方米。目前日办理客运业务列车59列，日均旅客发送量6500人次，年发送旅客300万人次。</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“十三五”期间，平阳积极谋划沿海高铁、温州市域轨道S3线二期（平阳段）项目前期工作。</w:t>
      </w:r>
    </w:p>
    <w:p>
      <w:pPr>
        <w:keepNext w:val="0"/>
        <w:keepLines w:val="0"/>
        <w:pageBreakBefore w:val="0"/>
        <w:widowControl w:val="0"/>
        <w:kinsoku/>
        <w:wordWrap/>
        <w:overflowPunct/>
        <w:topLinePunct w:val="0"/>
        <w:autoSpaceDE/>
        <w:autoSpaceDN/>
        <w:bidi w:val="0"/>
        <w:adjustRightInd/>
        <w:snapToGrid w:val="0"/>
        <w:spacing w:line="560" w:lineRule="exact"/>
        <w:ind w:left="0" w:firstLine="560"/>
        <w:jc w:val="both"/>
        <w:textAlignment w:val="auto"/>
        <w:rPr>
          <w:rFonts w:hint="default" w:ascii="Times New Roman" w:hAnsi="Times New Roman" w:cs="Times New Roman"/>
          <w:b w:val="0"/>
          <w:bCs w:val="0"/>
          <w:sz w:val="32"/>
          <w:szCs w:val="32"/>
          <w:lang w:eastAsia="zh-CN"/>
        </w:rPr>
      </w:pPr>
      <w:r>
        <w:rPr>
          <w:rFonts w:hint="default" w:ascii="Times New Roman" w:hAnsi="Times New Roman" w:cs="Times New Roman"/>
          <w:b w:val="0"/>
          <w:bCs w:val="0"/>
          <w:sz w:val="32"/>
          <w:szCs w:val="32"/>
          <w:lang w:eastAsia="zh-CN"/>
        </w:rPr>
        <w:t>（</w:t>
      </w:r>
      <w:r>
        <w:rPr>
          <w:rFonts w:hint="default" w:ascii="Times New Roman" w:hAnsi="Times New Roman" w:cs="Times New Roman"/>
          <w:b w:val="0"/>
          <w:bCs w:val="0"/>
          <w:sz w:val="32"/>
          <w:szCs w:val="32"/>
          <w:lang w:val="en-US" w:eastAsia="zh-CN"/>
        </w:rPr>
        <w:t>3）</w:t>
      </w:r>
      <w:r>
        <w:rPr>
          <w:rFonts w:hint="default" w:ascii="Times New Roman" w:hAnsi="Times New Roman" w:cs="Times New Roman"/>
          <w:b w:val="0"/>
          <w:bCs w:val="0"/>
          <w:sz w:val="32"/>
          <w:szCs w:val="32"/>
          <w:lang w:eastAsia="zh-CN"/>
        </w:rPr>
        <w:t>公路</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“十三五”期间，平阳积极抓好“一中心两通道”建设，全力实施交通路网优化、枢纽提升、美丽通达、治堵畅行四大工程。着力搭建县域东部“三大高速、三大国道 ”和县域西部“一主两副多线”交通网络构架，县内东部主干道呈现“四纵四横”、西部主通道呈现“一纵两横九连”的新格局。</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截至2020年底，平阳县公路网总里程达到1688公里，其中高速公路47公里，一级公路63公里，二级公路57公里，三级公路83公里，四级公路846公里，等外公路（含准四级）590公里。高速公路新增19.93公里，同比增长73%。一级公路新增26公里，增长72%。四级及以上公路里程大幅度提升，等外公路占比大幅度降低，等级以上公路新增412公里，同比增长60%。</w:t>
      </w:r>
    </w:p>
    <w:p>
      <w:pPr>
        <w:keepNext w:val="0"/>
        <w:keepLines w:val="0"/>
        <w:pageBreakBefore w:val="0"/>
        <w:widowControl w:val="0"/>
        <w:kinsoku/>
        <w:wordWrap/>
        <w:overflowPunct/>
        <w:topLinePunct w:val="0"/>
        <w:autoSpaceDE/>
        <w:autoSpaceDN/>
        <w:bidi w:val="0"/>
        <w:adjustRightInd/>
        <w:snapToGrid/>
        <w:spacing w:before="157" w:beforeLines="50" w:afterLines="0" w:line="240" w:lineRule="auto"/>
        <w:ind w:left="0" w:leftChars="0" w:firstLine="0" w:firstLineChars="0"/>
        <w:jc w:val="center"/>
        <w:textAlignment w:val="auto"/>
        <w:rPr>
          <w:rFonts w:hint="default" w:ascii="Times New Roman" w:hAnsi="Times New Roman" w:cs="Times New Roman"/>
          <w:sz w:val="28"/>
          <w:szCs w:val="28"/>
        </w:rPr>
      </w:pPr>
      <w:r>
        <w:rPr>
          <w:rFonts w:hint="default" w:ascii="Times New Roman" w:hAnsi="Times New Roman" w:cs="Times New Roman"/>
          <w:sz w:val="28"/>
          <w:szCs w:val="22"/>
        </w:rPr>
        <w:drawing>
          <wp:inline distT="0" distB="0" distL="114300" distR="114300">
            <wp:extent cx="5381625" cy="3000375"/>
            <wp:effectExtent l="0" t="0" r="9525" b="9525"/>
            <wp:docPr id="62" name="图片 1"/>
            <wp:cNvGraphicFramePr/>
            <a:graphic xmlns:a="http://schemas.openxmlformats.org/drawingml/2006/main">
              <a:graphicData uri="http://schemas.openxmlformats.org/drawingml/2006/picture">
                <pic:pic xmlns:pic="http://schemas.openxmlformats.org/drawingml/2006/picture">
                  <pic:nvPicPr>
                    <pic:cNvPr id="62" name="图片 1"/>
                    <pic:cNvPicPr/>
                  </pic:nvPicPr>
                  <pic:blipFill>
                    <a:blip r:embed="rId8"/>
                    <a:stretch>
                      <a:fillRect/>
                    </a:stretch>
                  </pic:blipFill>
                  <pic:spPr>
                    <a:xfrm>
                      <a:off x="0" y="0"/>
                      <a:ext cx="5381625" cy="3000375"/>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图1-1 </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平阳县公路里程统计</w:t>
      </w:r>
    </w:p>
    <w:p>
      <w:pPr>
        <w:keepNext w:val="0"/>
        <w:keepLines w:val="0"/>
        <w:pageBreakBefore w:val="0"/>
        <w:widowControl w:val="0"/>
        <w:kinsoku/>
        <w:wordWrap/>
        <w:overflowPunct/>
        <w:topLinePunct w:val="0"/>
        <w:autoSpaceDE/>
        <w:autoSpaceDN/>
        <w:bidi w:val="0"/>
        <w:adjustRightInd/>
        <w:snapToGrid w:val="0"/>
        <w:spacing w:line="300" w:lineRule="exact"/>
        <w:ind w:left="0" w:firstLine="560"/>
        <w:textAlignment w:val="auto"/>
        <w:rPr>
          <w:rFonts w:hint="default" w:ascii="Times New Roman" w:hAnsi="Times New Roman" w:cs="Times New Roman"/>
          <w:sz w:val="32"/>
          <w:szCs w:val="32"/>
        </w:rPr>
      </w:pP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公路网密度进一步提升，等级公路占比大幅提升，公路网密度由“十二五”期末的152.47公里/百平方米提升至158.25公里/百平方米。高等级公路建设继续推进，人均高速公路里程2015年末的0.3公里/万人提升至0.53公里/万人，人均一级公路里程达0.58公里/万人，均达到全市平均水平。</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县域高速公路网初具规模：</w:t>
      </w:r>
      <w:r>
        <w:rPr>
          <w:rFonts w:hint="default" w:ascii="Times New Roman" w:hAnsi="Times New Roman" w:cs="Times New Roman"/>
          <w:sz w:val="32"/>
          <w:szCs w:val="32"/>
        </w:rPr>
        <w:t>“十三五”期间，甬台温高速复线平阳段、温州绕城高速西南线平阳段两条高速相继通车投入使用，县域高速公路网络已由“十二五”末的仅有一条甬台温高速，转变为“两纵一横”的高速公路网络格局。加快平阳北互通、鳌江互通等重大工程建设，加快推进瑞苍高速平阳段项目前期工作，已取得突破性进展，其中先行段南雁荡山互通连接线预计将于2021年初开工建设。</w:t>
      </w:r>
    </w:p>
    <w:p>
      <w:pPr>
        <w:pStyle w:val="20"/>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普通国省道前期工作积极推进：</w:t>
      </w:r>
      <w:r>
        <w:rPr>
          <w:rFonts w:hint="default" w:ascii="Times New Roman" w:hAnsi="Times New Roman" w:cs="Times New Roman"/>
          <w:sz w:val="32"/>
          <w:szCs w:val="32"/>
        </w:rPr>
        <w:t>现状平阳境内有G104国道，全长30.85公里，途经万全镇、昆阳镇、鳌江镇、萧江镇。“十三五”期间，加快推进G228平阳榆</w:t>
      </w:r>
      <w:r>
        <w:rPr>
          <w:rFonts w:hint="default" w:ascii="Times New Roman" w:hAnsi="Times New Roman" w:eastAsia="微软雅黑" w:cs="Times New Roman"/>
          <w:sz w:val="32"/>
          <w:szCs w:val="32"/>
        </w:rPr>
        <w:t>垟</w:t>
      </w:r>
      <w:r>
        <w:rPr>
          <w:rFonts w:hint="default" w:ascii="Times New Roman" w:hAnsi="Times New Roman" w:cs="Times New Roman"/>
          <w:sz w:val="32"/>
          <w:szCs w:val="32"/>
        </w:rPr>
        <w:t>鳌江段建设工程、G104西过境平阳段改建工程。</w:t>
      </w:r>
    </w:p>
    <w:p>
      <w:pPr>
        <w:pStyle w:val="20"/>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 xml:space="preserve">普通省道S230，全长共80.2公里，途经凤巢乡、水头镇、南湖乡、萧江镇。“十三五”时期，全速推进218省道平阳腾蛟至萧江段改建工程、219省道平阳怀溪至闹村段工程。 </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中心城区道路网结构完善：</w:t>
      </w:r>
      <w:r>
        <w:rPr>
          <w:rFonts w:hint="default" w:ascii="Times New Roman" w:hAnsi="Times New Roman" w:cs="Times New Roman"/>
          <w:sz w:val="32"/>
          <w:szCs w:val="32"/>
        </w:rPr>
        <w:t>“十三五”期间，昆鳌快速通道、昆宋公路、57省道复线、万鳌公路、万锦公路、鳌江一桥、鳌江四桥、平阳鳌江车渡码头工程等一大批项目相继建成投用。此外，胜利路东延段（墨城互通至横山大道）新建工程、萧麻大道、浙南集聚区至鳌江港集疏运公路等项目前期工作积极推进。</w:t>
      </w:r>
    </w:p>
    <w:p>
      <w:pPr>
        <w:pStyle w:val="20"/>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四好农村公路继续加大投入：</w:t>
      </w:r>
      <w:r>
        <w:rPr>
          <w:rFonts w:hint="default" w:ascii="Times New Roman" w:hAnsi="Times New Roman" w:cs="Times New Roman"/>
          <w:sz w:val="32"/>
          <w:szCs w:val="32"/>
        </w:rPr>
        <w:t>“十三五”期间，平阳县始终坚持把“四好农村路”建设作为打赢脱贫攻坚战、实现乡村振兴、冲刺共同富裕的重要抓手，五年累计投入80.7亿元，扎实推进“四好农村路”建设，创成了省级“四好农村路”建设示范县，有效打通了“两山”转化通道，取得扎实成效。共改造提升农村道路188条，完成“四好农村路”建设农村公路1044公里，建制村双车道通达率提高近45%，农村公交化率提高77%，沥青路占比提高13%，实现所辖乡镇、重点景区三级以上公路“全覆盖”。并于2019年成为 “四好农村路”省级示范县。</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美丽经济交通走廊建设稳步推进：</w:t>
      </w:r>
      <w:r>
        <w:rPr>
          <w:rFonts w:hint="default" w:ascii="Times New Roman" w:hAnsi="Times New Roman" w:cs="Times New Roman"/>
          <w:sz w:val="32"/>
          <w:szCs w:val="32"/>
        </w:rPr>
        <w:t>“十三五”期间，累积完成投资13.1亿元，完成美创线路总里程约331.9千米，完成红色领航项目25千米，已完成鳌江十里梅林示范带、昆阳塘河田园风情示范带、青街畲乡竹海示范带等美创项目主体。</w:t>
      </w:r>
    </w:p>
    <w:p>
      <w:pPr>
        <w:keepNext w:val="0"/>
        <w:keepLines w:val="0"/>
        <w:pageBreakBefore w:val="0"/>
        <w:widowControl w:val="0"/>
        <w:kinsoku/>
        <w:wordWrap/>
        <w:overflowPunct/>
        <w:topLinePunct w:val="0"/>
        <w:autoSpaceDE/>
        <w:autoSpaceDN/>
        <w:bidi w:val="0"/>
        <w:adjustRightInd/>
        <w:snapToGrid w:val="0"/>
        <w:spacing w:line="560" w:lineRule="exact"/>
        <w:ind w:left="0" w:firstLine="560"/>
        <w:jc w:val="both"/>
        <w:textAlignment w:val="auto"/>
        <w:rPr>
          <w:rFonts w:hint="default" w:ascii="Times New Roman" w:hAnsi="Times New Roman" w:cs="Times New Roman"/>
          <w:b w:val="0"/>
          <w:bCs w:val="0"/>
          <w:sz w:val="32"/>
          <w:szCs w:val="32"/>
          <w:lang w:eastAsia="zh-CN"/>
        </w:rPr>
      </w:pPr>
      <w:r>
        <w:rPr>
          <w:rFonts w:hint="default" w:ascii="Times New Roman" w:hAnsi="Times New Roman" w:cs="Times New Roman"/>
          <w:b w:val="0"/>
          <w:bCs w:val="0"/>
          <w:sz w:val="32"/>
          <w:szCs w:val="32"/>
          <w:lang w:eastAsia="zh-CN"/>
        </w:rPr>
        <w:t>（</w:t>
      </w:r>
      <w:r>
        <w:rPr>
          <w:rFonts w:hint="default" w:ascii="Times New Roman" w:hAnsi="Times New Roman" w:cs="Times New Roman"/>
          <w:b w:val="0"/>
          <w:bCs w:val="0"/>
          <w:sz w:val="32"/>
          <w:szCs w:val="32"/>
          <w:lang w:val="en-US" w:eastAsia="zh-CN"/>
        </w:rPr>
        <w:t>4）</w:t>
      </w:r>
      <w:r>
        <w:rPr>
          <w:rFonts w:hint="default" w:ascii="Times New Roman" w:hAnsi="Times New Roman" w:cs="Times New Roman"/>
          <w:b w:val="0"/>
          <w:bCs w:val="0"/>
          <w:sz w:val="32"/>
          <w:szCs w:val="32"/>
          <w:lang w:eastAsia="zh-CN"/>
        </w:rPr>
        <w:t>水运</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目前平阳港区拥有1500吨级码头2座，1000吨级码头3座，1000吨级以下码头30座。境内具备通航条件的有7条，鳌江龙港大桥-岱口大桥段为通海轮内河300吨级航道，通航里程9公里；鳌江岱口大桥-水头镇段为内河准七级航道，通航里程21公里；昆阳-飞云段为内河准七级航道，通航里程17公里；昆阳-鳌江段为内河准七级航道，通航里程13公里；昆阳-钱仓段为内河准七级航道，通航里程12公里；昆阳-宋埠段为内河准七级航道，通航里程13公里；昆阳-郑楼段为内河准七级航道，通航里程12公里。</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期间，平阳港建设积极推进，平阳港区共建成泊位4个。建成县港航局巡逻执法艇码头工程、温州海事局南麂监管码头、平阳鳌江车渡码头工程、南麂港航便民及旅游服务中心工程以及南麂港进港航道及码头港池疏浚工程，总投资达1.5亿元。全县共有水运企业2家，水运辅助企业2家，在册实有沿海营运船舶9艘，载客量1486客位。完成水路客运量21.68万人次，同比增加41%。</w:t>
      </w:r>
    </w:p>
    <w:p>
      <w:pPr>
        <w:keepNext w:val="0"/>
        <w:keepLines w:val="0"/>
        <w:pageBreakBefore w:val="0"/>
        <w:widowControl w:val="0"/>
        <w:kinsoku/>
        <w:wordWrap/>
        <w:overflowPunct/>
        <w:topLinePunct w:val="0"/>
        <w:autoSpaceDE/>
        <w:autoSpaceDN/>
        <w:bidi w:val="0"/>
        <w:adjustRightInd/>
        <w:snapToGrid w:val="0"/>
        <w:spacing w:line="560" w:lineRule="exact"/>
        <w:ind w:left="0" w:firstLine="560"/>
        <w:jc w:val="both"/>
        <w:textAlignment w:val="auto"/>
        <w:rPr>
          <w:rFonts w:hint="default" w:ascii="Times New Roman" w:hAnsi="Times New Roman" w:cs="Times New Roman"/>
          <w:b w:val="0"/>
          <w:bCs w:val="0"/>
          <w:sz w:val="32"/>
          <w:szCs w:val="32"/>
          <w:lang w:eastAsia="zh-CN"/>
        </w:rPr>
      </w:pPr>
      <w:r>
        <w:rPr>
          <w:rFonts w:hint="default" w:ascii="Times New Roman" w:hAnsi="Times New Roman" w:cs="Times New Roman"/>
          <w:b w:val="0"/>
          <w:bCs w:val="0"/>
          <w:sz w:val="32"/>
          <w:szCs w:val="32"/>
          <w:lang w:eastAsia="zh-CN"/>
        </w:rPr>
        <w:t>（</w:t>
      </w:r>
      <w:r>
        <w:rPr>
          <w:rFonts w:hint="default" w:ascii="Times New Roman" w:hAnsi="Times New Roman" w:cs="Times New Roman"/>
          <w:b w:val="0"/>
          <w:bCs w:val="0"/>
          <w:sz w:val="32"/>
          <w:szCs w:val="32"/>
          <w:lang w:val="en-US" w:eastAsia="zh-CN"/>
        </w:rPr>
        <w:t>5）</w:t>
      </w:r>
      <w:r>
        <w:rPr>
          <w:rFonts w:hint="default" w:ascii="Times New Roman" w:hAnsi="Times New Roman" w:cs="Times New Roman"/>
          <w:b w:val="0"/>
          <w:bCs w:val="0"/>
          <w:sz w:val="32"/>
          <w:szCs w:val="32"/>
          <w:lang w:eastAsia="zh-CN"/>
        </w:rPr>
        <w:t>客货运场站</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平阳县紧密结合城镇规划和公路发展布局，努力打造成为温州骨干网点的客运站场。“十三五”期间新建成鳌江客运中心、南麂客运站、郑楼客运站，新建成港湾式停靠站139个，客货运站场设施得到了进一步改善。</w:t>
      </w:r>
    </w:p>
    <w:p>
      <w:pPr>
        <w:keepNext w:val="0"/>
        <w:keepLines w:val="0"/>
        <w:pageBreakBefore w:val="0"/>
        <w:widowControl w:val="0"/>
        <w:kinsoku/>
        <w:wordWrap/>
        <w:overflowPunct/>
        <w:topLinePunct w:val="0"/>
        <w:autoSpaceDE/>
        <w:autoSpaceDN/>
        <w:bidi w:val="0"/>
        <w:adjustRightInd/>
        <w:snapToGrid w:val="0"/>
        <w:spacing w:line="560" w:lineRule="exact"/>
        <w:ind w:left="0" w:firstLine="560"/>
        <w:jc w:val="both"/>
        <w:textAlignment w:val="auto"/>
        <w:rPr>
          <w:rFonts w:hint="default" w:ascii="Times New Roman" w:hAnsi="Times New Roman" w:cs="Times New Roman"/>
          <w:b/>
          <w:bCs/>
          <w:sz w:val="32"/>
          <w:szCs w:val="32"/>
          <w:lang w:eastAsia="zh-CN"/>
        </w:rPr>
      </w:pPr>
      <w:r>
        <w:rPr>
          <w:rFonts w:hint="default" w:ascii="Times New Roman" w:hAnsi="Times New Roman" w:cs="Times New Roman"/>
          <w:b/>
          <w:bCs/>
          <w:sz w:val="32"/>
          <w:szCs w:val="32"/>
          <w:lang w:eastAsia="zh-CN"/>
        </w:rPr>
        <w:t>成就2：全力推进运输大发展，服务水平进一步提升</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期间，交通基础设施的不断完善，有力推动了平阳县交通运输业发展，交通运输客货运量及周转量趋于平稳，运输装备技术水平逐步升级，运输服务质量不断提高，有效地促进平阳县经济社会的协调发展。</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（1）交通运输转型升级，服务水平稳步提升</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期间累计完成公路客运量12430万人，水运客运量88万人，总客运量位列全市第四位。公路货运量2792万吨，水运货运量212万吨。全县公交客运运输量达7193万人次，同比增长85.9%。交通公共场所服务大提升，通过增设鳌江客运中心网上购票服务和自助售票机服务系统，实现智慧出行；开发鳌江南麂客运码头南麂客运航线景区门票、岛上公交票、船票三合一售票系统，推动南麂客运航线水陆交通联网，实现客运信息数字化转型。</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（2）城乡公交一体化建设持续推进，人民满意度稳步提升</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自2017年起，平阳全力推进建制村客车“村村通”攻坚行动，客车通村率100%。完成收购改造农村班线59条、330辆目标任务，公交车数量也从123辆增至442辆，新增线路23条，城乡公交一体化三年任务两年完成，新能源公交车增加130辆，城乡公交化率由23%提升至100%，建设 港湾式停靠站182个，实现全域公交化。自2017年起，全县全力推进建制村客车“村村通”攻坚行动，客车通村率达100%。改造建设村级物流点324个。</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公交惠民服务有序开展，开通昆阳至水头、鳌江至萧江、动车站至水头等多条主干镇际公交。加大公交优惠力度，票价下降53%，组织开展了“一分钱坐公交”等活动。推广公交移动支付以及“平阳公交”微信公众号平台使用。每年县财政补贴运营0.7亿元，减少群众出行成本约1亿元，切实提升城市形象、群众满意度及运输服务水平。</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（3）综合运输装备更新换代，居民出行更舒适</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期间，平阳县的客运车辆向高效、节能、环保、舒适发展，货运车辆向大型化、标准化、专业化、清洁化方向发展。相较“十二五”时期，各类运输装备指标增长较快。至2019年末，全县拥有各类营运车辆857辆，其中客车457辆、货车185辆、公交车400辆。</w:t>
      </w:r>
    </w:p>
    <w:p>
      <w:pPr>
        <w:pStyle w:val="6"/>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560" w:lineRule="exact"/>
        <w:ind w:left="0" w:firstLine="642"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 xml:space="preserve">成就3：全力推进队伍大建设，全面提升治理水平 </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（1）法治建设</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期间全面推进法治政府部门建设，推进统一执法、联合执法、路警共建等交通运输行政执法模式改革，强化监督管理，不断完善交通运输法治政府部门考核评价机制，加强执法业务骨干队伍和执法管理队伍建设，开展多次行业教育培训工作。建立健全规范行政处罚、行政强制等行政行为自由裁量权制度，2019年重新修订完善了《行政执法公开制度》、《重大行政执法决定法制审核制度》、《执法全过程记录制度》，规范行政主体的自由裁量权，完善行政执法程序，强化交通依法监管。推进“三基三化”建设，提高队伍整体形象，积极做好队伍素质建设。完善社会法制宣传教育制度，深入开展“七五”普法活动，营造依法行政的良好氛围，加强普法力度，提高普法层次，为交通运输行政执法创造了良好的社会环境。</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（2）信息建设</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期间，交通运输行业信息化水平持续提高，在交通建设、运输生产、交通安全、政府管理等方面大力推广和应用信息技术。进一步完善各项信息平台，车辆GPS集中监控平台、施工工地远程监控等安全生产信息化建设，用信息化水平的提高带动整个行业的全面发展。截至2019年底“两客两货”车辆GPS安装率、入网率、上线率均达100%。</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不断推进审批改革，落实便民举措，提高了网上办结率，实现群众“零跑腿”，审批流程再优化，网上实现率达到100%，掌上实现率达到100%，即办比例达到94.07%，承诺压缩比达到99.56%。</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积极推动“一件事”。在“网络预约出租汽车车辆营运证核发”、“巡游出租汽车驾驶员从业资格认定”等“一件事”上，积极与相关部门沟通协调，加快互通公共数据，做好“先照后证”双告知的涉证企业认领工作，实现多部门联办，提高审批效率。</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（3）队伍建设</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交通系统多次组织开展执法人员培训，不断创新队伍管理模式，开展依法行政考评，推进“执法全过程记录”，提高依法行政的自觉性。贯彻落实党的十九大精神，加强党风廉政建设和队伍教育，以“实字当头、干字为先”的精气神，全面加强党的建设，从严治党，严格执行党的纪律和规矩。开展“不忘初心</w:t>
      </w:r>
      <w:r>
        <w:rPr>
          <w:rFonts w:hint="eastAsia" w:cs="Times New Roman"/>
          <w:sz w:val="32"/>
          <w:szCs w:val="32"/>
          <w:lang w:eastAsia="zh-CN"/>
        </w:rPr>
        <w:t>、</w:t>
      </w:r>
      <w:r>
        <w:rPr>
          <w:rFonts w:hint="default" w:ascii="Times New Roman" w:hAnsi="Times New Roman" w:cs="Times New Roman"/>
          <w:sz w:val="32"/>
          <w:szCs w:val="32"/>
        </w:rPr>
        <w:t>牢记使命”主题教育，坚持把学习教育、调查研究、检视问题、整改落实贯穿主题教育全过程。</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eastAsia="楷体_GB2312" w:cs="Times New Roman"/>
          <w:b w:val="0"/>
          <w:bCs w:val="0"/>
          <w:sz w:val="32"/>
          <w:szCs w:val="32"/>
        </w:rPr>
      </w:pPr>
      <w:bookmarkStart w:id="10" w:name="_Toc102660568"/>
      <w:bookmarkStart w:id="11" w:name="_Toc38640996"/>
      <w:r>
        <w:rPr>
          <w:rFonts w:hint="default" w:ascii="Times New Roman" w:hAnsi="Times New Roman" w:eastAsia="楷体_GB2312" w:cs="Times New Roman"/>
          <w:b w:val="0"/>
          <w:bCs w:val="0"/>
          <w:sz w:val="32"/>
          <w:szCs w:val="32"/>
          <w:lang w:eastAsia="zh-CN"/>
        </w:rPr>
        <w:t>（三）</w:t>
      </w:r>
      <w:r>
        <w:rPr>
          <w:rFonts w:hint="default" w:ascii="Times New Roman" w:hAnsi="Times New Roman" w:eastAsia="楷体_GB2312" w:cs="Times New Roman"/>
          <w:b w:val="0"/>
          <w:bCs w:val="0"/>
          <w:sz w:val="32"/>
          <w:szCs w:val="32"/>
        </w:rPr>
        <w:t>存在问题</w:t>
      </w:r>
      <w:bookmarkEnd w:id="10"/>
      <w:bookmarkEnd w:id="11"/>
      <w:bookmarkStart w:id="12" w:name="_Toc35595717"/>
    </w:p>
    <w:bookmarkEnd w:id="12"/>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rPr>
      </w:pPr>
      <w:bookmarkStart w:id="13" w:name="_Toc35595718"/>
      <w:r>
        <w:rPr>
          <w:rFonts w:hint="default" w:ascii="Times New Roman" w:hAnsi="Times New Roman" w:cs="Times New Roman"/>
          <w:b/>
          <w:bCs/>
          <w:sz w:val="32"/>
          <w:szCs w:val="32"/>
          <w:lang w:val="en-US" w:eastAsia="zh-CN"/>
        </w:rPr>
        <w:t>1</w:t>
      </w:r>
      <w:r>
        <w:rPr>
          <w:rFonts w:hint="eastAsia" w:cs="Times New Roman"/>
          <w:b/>
          <w:bCs/>
          <w:sz w:val="32"/>
          <w:szCs w:val="32"/>
          <w:lang w:val="en-US" w:eastAsia="zh-CN"/>
        </w:rPr>
        <w:t>．</w:t>
      </w:r>
      <w:r>
        <w:rPr>
          <w:rFonts w:hint="default" w:ascii="Times New Roman" w:hAnsi="Times New Roman" w:cs="Times New Roman"/>
          <w:b/>
          <w:bCs/>
          <w:sz w:val="32"/>
          <w:szCs w:val="32"/>
        </w:rPr>
        <w:t>综合交通基础设施建设还需加强，交通发展不均衡</w:t>
      </w:r>
    </w:p>
    <w:bookmarkEnd w:id="13"/>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现状平阳县不同方向对外交通设施分布不均匀，联系效率差异显著。县域内交通基础设施呈现为“东密西疏”的布局，高速公路、铁路以及主要客货运梳理场站均集中分布在东部沿海地区，已基本形成南北向多条干线通道。但西向与丽水、泰顺联系的通道单一且道路等级不高，高速公路仍未全线贯通。境内仅有一条时速200公里的甬台温铁路，甬台温高铁尚在项目预可研审查阶段，与上海、杭州长三角重点城市联系时间均超过2小时。境内主要对外快速运输通道，甬台温铁路、沈海高速平阳段、G104国道运输能力均趋于饱和，难以满足日益增长的交通需求。县域内暂无可用民用机场，快进快出的综合立体型交通基础设施规模不足。</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平阳整体的公路网技术等级与服务水平不高，高等级公路、高等级航道占比不高，技术结构有待优化。全县二级及以上公路仅占公路总里程的7.0%，高速公路总里程占比不到温州全市10%，而四级、准四级公路占比达88.2%，全县通航里程97公里，其中七级及以下航道里程88公里，占比高达90.7%。</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2</w:t>
      </w:r>
      <w:r>
        <w:rPr>
          <w:rFonts w:hint="eastAsia" w:cs="Times New Roman"/>
          <w:b/>
          <w:bCs/>
          <w:sz w:val="32"/>
          <w:szCs w:val="32"/>
          <w:lang w:val="en-US" w:eastAsia="zh-CN"/>
        </w:rPr>
        <w:t>．</w:t>
      </w:r>
      <w:r>
        <w:rPr>
          <w:rFonts w:hint="default" w:ascii="Times New Roman" w:hAnsi="Times New Roman" w:cs="Times New Roman"/>
          <w:b/>
          <w:bCs/>
          <w:sz w:val="32"/>
          <w:szCs w:val="32"/>
          <w:lang w:val="en-US" w:eastAsia="zh-CN"/>
        </w:rPr>
        <w:t>城乡交通统筹发展有待加强，西部山区缺乏交通廊道支撑</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目前平阳县乡公路整体尚未成网，城市城乡交通主骨架网络等级偏低，不能适应城乡一体化建设的交通要求。中西部乡镇到达县中心城区的时间在1.5小时以内，鳌江、水头、万全、海西等中心镇到达县中心区域时间在45分钟内，山门、顺溪、南雁、怀溪、青街畲族乡等西部较偏远的乡镇到达中心城区的时间均超过1小时，城市城乡联系路径需进一步优化。</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中西部地区高速公路仍处在谋划建设阶段，现状除萧江、鳌江、万全、麻布镇以外，其余各乡镇到最近的高速公路互通所需时间均超过15分钟，亟需提高西部各乡镇与高速公路连接效率。</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cs="Times New Roman"/>
          <w:szCs w:val="28"/>
        </w:rPr>
      </w:pPr>
      <w:r>
        <w:rPr>
          <w:rFonts w:hint="default" w:ascii="Times New Roman" w:hAnsi="Times New Roman" w:cs="Times New Roman"/>
          <w:szCs w:val="28"/>
        </w:rPr>
        <w:drawing>
          <wp:inline distT="0" distB="0" distL="114300" distR="114300">
            <wp:extent cx="2564765" cy="1800225"/>
            <wp:effectExtent l="0" t="0" r="6985" b="9525"/>
            <wp:docPr id="43"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0"/>
                    <pic:cNvPicPr>
                      <a:picLocks noChangeAspect="true"/>
                    </pic:cNvPicPr>
                  </pic:nvPicPr>
                  <pic:blipFill>
                    <a:blip r:embed="rId9"/>
                    <a:stretch>
                      <a:fillRect/>
                    </a:stretch>
                  </pic:blipFill>
                  <pic:spPr>
                    <a:xfrm>
                      <a:off x="0" y="0"/>
                      <a:ext cx="2564765" cy="1800225"/>
                    </a:xfrm>
                    <a:prstGeom prst="rect">
                      <a:avLst/>
                    </a:prstGeom>
                    <a:noFill/>
                    <a:ln>
                      <a:noFill/>
                    </a:ln>
                  </pic:spPr>
                </pic:pic>
              </a:graphicData>
            </a:graphic>
          </wp:inline>
        </w:drawing>
      </w:r>
      <w:r>
        <w:rPr>
          <w:rFonts w:hint="default" w:ascii="Times New Roman" w:hAnsi="Times New Roman" w:cs="Times New Roman"/>
          <w:szCs w:val="28"/>
        </w:rPr>
        <w:t xml:space="preserve">  </w:t>
      </w:r>
      <w:r>
        <w:rPr>
          <w:rFonts w:hint="default" w:ascii="Times New Roman" w:hAnsi="Times New Roman" w:cs="Times New Roman"/>
          <w:szCs w:val="28"/>
        </w:rPr>
        <w:drawing>
          <wp:inline distT="0" distB="0" distL="114300" distR="114300">
            <wp:extent cx="2610485" cy="1800225"/>
            <wp:effectExtent l="0" t="0" r="18415" b="9525"/>
            <wp:docPr id="42" name="图片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true"/>
                    </pic:cNvPicPr>
                  </pic:nvPicPr>
                  <pic:blipFill>
                    <a:blip r:embed="rId10"/>
                    <a:stretch>
                      <a:fillRect/>
                    </a:stretch>
                  </pic:blipFill>
                  <pic:spPr>
                    <a:xfrm>
                      <a:off x="0" y="0"/>
                      <a:ext cx="2610485" cy="1800225"/>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图1-2平阳中心镇15分钟、30分钟交通时空圈分布图</w:t>
      </w:r>
    </w:p>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eastAsia="仿宋_GB2312" w:cs="Times New Roman"/>
          <w:sz w:val="24"/>
          <w:szCs w:val="24"/>
        </w:rPr>
      </w:pP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3</w:t>
      </w:r>
      <w:r>
        <w:rPr>
          <w:rFonts w:hint="eastAsia" w:cs="Times New Roman"/>
          <w:b/>
          <w:bCs/>
          <w:sz w:val="32"/>
          <w:szCs w:val="32"/>
          <w:lang w:val="en-US" w:eastAsia="zh-CN"/>
        </w:rPr>
        <w:t>．</w:t>
      </w:r>
      <w:r>
        <w:rPr>
          <w:rFonts w:hint="default" w:ascii="Times New Roman" w:hAnsi="Times New Roman" w:cs="Times New Roman"/>
          <w:b/>
          <w:bCs/>
          <w:sz w:val="32"/>
          <w:szCs w:val="32"/>
          <w:lang w:val="en-US" w:eastAsia="zh-CN"/>
        </w:rPr>
        <w:t>平阳港集疏运体系建设有待加强，港区发展滞后</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平阳港区建设进度缓慢，港区年吞吐量逐年减少，2019年沿海港口吞吐量达124.19万吨，占全市港口吞吐量总量不足2%交通运输发展不完善、不平衡、不充分的问题明显，不同运输方式的组合效率和整体优势并未充分发挥，难以满足日益增长的居民出行需求和产业生产货运需求，距离实现综合交通运输现代化的目标尚有较大差距。此外疏港公路纵深不足，进出港货车在城市道路上与其他车辆混行，高速通道以南北向为主，缺乏与浙西内陆腹地的快速货运通道。缺乏铁路集疏运通道，甬台温铁路平阳港支线尚在研究阶段，公铁、水铁联运亟待发展。</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4</w:t>
      </w:r>
      <w:r>
        <w:rPr>
          <w:rFonts w:hint="eastAsia" w:cs="Times New Roman"/>
          <w:b/>
          <w:bCs/>
          <w:sz w:val="32"/>
          <w:szCs w:val="32"/>
          <w:lang w:val="en-US" w:eastAsia="zh-CN"/>
        </w:rPr>
        <w:t>．</w:t>
      </w:r>
      <w:r>
        <w:rPr>
          <w:rFonts w:hint="default" w:ascii="Times New Roman" w:hAnsi="Times New Roman" w:cs="Times New Roman"/>
          <w:b/>
          <w:bCs/>
          <w:sz w:val="32"/>
          <w:szCs w:val="32"/>
          <w:lang w:val="en-US" w:eastAsia="zh-CN"/>
        </w:rPr>
        <w:t>多式联运体系尚不健全，公路运输占比大</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当前平阳县的经济总量已占到温州市的7.7%，是温州南翼区域重要的经济中心，承担都市经济、生活等多种功能。经济的快速发展势必伴随着更高时效、更低成本的运输需求，但目前平阳目前货运基础条件与本地产业发展需求不匹配，已逐步成为制约平阳经济社会进一步发展的主要制约。从运输总量上看，目前平阳公路水运货运总量位列全市第六位，基本维持在600万吨/年，主要依靠公路运输，公路货运占比超过80%，且呈现逐年增长的趋势，给既有公路货运系统带来了较大压力。综合交通运输发展不完善、不平衡、不充分的问题明显，不同运输方式的组合效率和整体优势并未充分发挥。</w:t>
      </w:r>
    </w:p>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4248150" cy="2729230"/>
            <wp:effectExtent l="0" t="0" r="0" b="13970"/>
            <wp:docPr id="44"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2"/>
                    <pic:cNvPicPr>
                      <a:picLocks noChangeAspect="true"/>
                    </pic:cNvPicPr>
                  </pic:nvPicPr>
                  <pic:blipFill>
                    <a:blip r:embed="rId11"/>
                    <a:stretch>
                      <a:fillRect/>
                    </a:stretch>
                  </pic:blipFill>
                  <pic:spPr>
                    <a:xfrm>
                      <a:off x="0" y="0"/>
                      <a:ext cx="4248150" cy="2729230"/>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图1-3</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平阳县“十三五”时期公路、水运货运量统计</w:t>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8"/>
          <w:szCs w:val="28"/>
        </w:rPr>
      </w:pP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5</w:t>
      </w:r>
      <w:r>
        <w:rPr>
          <w:rFonts w:hint="eastAsia" w:cs="Times New Roman"/>
          <w:b/>
          <w:bCs/>
          <w:sz w:val="32"/>
          <w:szCs w:val="32"/>
          <w:lang w:val="en-US" w:eastAsia="zh-CN"/>
        </w:rPr>
        <w:t>．</w:t>
      </w:r>
      <w:r>
        <w:rPr>
          <w:rFonts w:hint="default" w:ascii="Times New Roman" w:hAnsi="Times New Roman" w:cs="Times New Roman"/>
          <w:b/>
          <w:bCs/>
          <w:sz w:val="32"/>
          <w:szCs w:val="32"/>
          <w:lang w:val="en-US" w:eastAsia="zh-CN"/>
        </w:rPr>
        <w:t>交通行业管理能力有待加强，人财地要素制约突出</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时期国内外经济形势面临严峻挑战，全市GDP增速及财政收入的增速都在逐步放缓，导致整体资金筹措难度大，融资成本高。然而交通项目投资金额大，建设周期长，项目地方自筹金额比例高，导致交通建设的资金需求难以得到满足。</w:t>
      </w:r>
      <w:r>
        <w:rPr>
          <w:rFonts w:hint="eastAsia" w:cs="Times New Roman"/>
          <w:sz w:val="32"/>
          <w:szCs w:val="32"/>
          <w:lang w:val="en-US" w:eastAsia="zh-CN"/>
        </w:rPr>
        <w:t>与</w:t>
      </w:r>
      <w:r>
        <w:rPr>
          <w:rFonts w:hint="default" w:ascii="Times New Roman" w:hAnsi="Times New Roman" w:cs="Times New Roman"/>
          <w:sz w:val="32"/>
          <w:szCs w:val="32"/>
        </w:rPr>
        <w:t>此同时融资渠道收紧、占补平衡土地指标稀缺、人才短缺等要素依旧是制约交通大建设大发展的主要因素。</w:t>
      </w:r>
    </w:p>
    <w:p>
      <w:pPr>
        <w:rPr>
          <w:rFonts w:hint="default" w:ascii="Times New Roman" w:hAnsi="Times New Roman" w:eastAsia="黑体" w:cs="Times New Roman"/>
          <w:b w:val="0"/>
          <w:bCs w:val="0"/>
          <w:kern w:val="2"/>
          <w:sz w:val="32"/>
          <w:szCs w:val="32"/>
          <w:lang w:val="en-US" w:eastAsia="zh-CN" w:bidi="ar-SA"/>
        </w:rPr>
      </w:pPr>
      <w:bookmarkStart w:id="14" w:name="_Toc102660569"/>
      <w:r>
        <w:rPr>
          <w:rFonts w:hint="default" w:ascii="Times New Roman" w:hAnsi="Times New Roman" w:eastAsia="黑体" w:cs="Times New Roman"/>
          <w:b w:val="0"/>
          <w:bCs w:val="0"/>
          <w:kern w:val="2"/>
          <w:sz w:val="32"/>
          <w:szCs w:val="32"/>
          <w:lang w:val="en-US" w:eastAsia="zh-CN" w:bidi="ar-SA"/>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jc w:val="center"/>
        <w:textAlignment w:val="auto"/>
        <w:rPr>
          <w:rFonts w:hint="default" w:ascii="Times New Roman" w:hAnsi="Times New Roman" w:eastAsia="黑体" w:cs="Times New Roman"/>
          <w:b w:val="0"/>
          <w:bCs w:val="0"/>
          <w:kern w:val="2"/>
          <w:sz w:val="32"/>
          <w:szCs w:val="32"/>
          <w:lang w:val="en-US" w:eastAsia="zh-CN" w:bidi="ar-SA"/>
        </w:rPr>
      </w:pPr>
      <w:r>
        <w:rPr>
          <w:rFonts w:hint="default" w:ascii="Times New Roman" w:hAnsi="Times New Roman" w:eastAsia="黑体" w:cs="Times New Roman"/>
          <w:b w:val="0"/>
          <w:bCs w:val="0"/>
          <w:kern w:val="2"/>
          <w:sz w:val="32"/>
          <w:szCs w:val="32"/>
          <w:lang w:val="en-US" w:eastAsia="zh-CN" w:bidi="ar-SA"/>
        </w:rPr>
        <w:t>二、发展环境</w:t>
      </w:r>
      <w:bookmarkEnd w:id="14"/>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eastAsia="楷体_GB2312" w:cs="Times New Roman"/>
          <w:b w:val="0"/>
          <w:bCs w:val="0"/>
          <w:sz w:val="32"/>
          <w:szCs w:val="32"/>
          <w:lang w:eastAsia="zh-CN"/>
        </w:rPr>
      </w:pPr>
      <w:bookmarkStart w:id="15" w:name="_Toc38640998"/>
      <w:bookmarkStart w:id="16" w:name="_Toc102660570"/>
      <w:bookmarkStart w:id="17" w:name="_Toc35595723"/>
      <w:r>
        <w:rPr>
          <w:rFonts w:hint="default" w:ascii="Times New Roman" w:hAnsi="Times New Roman" w:eastAsia="楷体_GB2312" w:cs="Times New Roman"/>
          <w:b w:val="0"/>
          <w:bCs w:val="0"/>
          <w:sz w:val="32"/>
          <w:szCs w:val="32"/>
          <w:lang w:eastAsia="zh-CN"/>
        </w:rPr>
        <w:t>（一）形势要求</w:t>
      </w:r>
      <w:bookmarkEnd w:id="15"/>
      <w:bookmarkEnd w:id="16"/>
      <w:bookmarkEnd w:id="17"/>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1</w:t>
      </w:r>
      <w:r>
        <w:rPr>
          <w:rFonts w:hint="eastAsia" w:cs="Times New Roman"/>
          <w:b/>
          <w:bCs/>
          <w:sz w:val="32"/>
          <w:szCs w:val="32"/>
          <w:lang w:val="en-US" w:eastAsia="zh-CN"/>
        </w:rPr>
        <w:t>．</w:t>
      </w:r>
      <w:r>
        <w:rPr>
          <w:rFonts w:hint="default" w:ascii="Times New Roman" w:hAnsi="Times New Roman" w:cs="Times New Roman"/>
          <w:b/>
          <w:bCs/>
          <w:sz w:val="32"/>
          <w:szCs w:val="32"/>
          <w:lang w:val="en-US" w:eastAsia="zh-CN"/>
        </w:rPr>
        <w:t>国家层面</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针对现阶段我国发展阶段以及外部环境、条件的变化，中央提出要推动形成以国内大循环为主体、国内国际双循环相互促进的新发展格局。通过供给侧结构性改革，加快产业结构调整，实现产业结构的优化升级。畅通国内供需循环，通过持续做大做强国内市场，增强对全球产业链和高水平外资的吸引力，同时加强以消费作为主要的拉动力，引导消费品质从中低端向中高端，消费形态从物质型向服务型的转变，消费结构升级成为经济转型发展的重要驱动力。畅通国际供需循环，充分发挥自身在全球产业链供应链中的重要作用，实现外贸由量的扩张向质的提升转变。</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紧紧围绕“重要窗口”，高水平建设交通强省样板。在“两个一百年”奋斗目标历史交汇期，开启全面建设社会主义现代化国家新征程，向第二个百年奋斗目标进军。“十四五”时期是交通运输由“基本适应”向“提质增效”的转换期，是基础设施网络完善、运输服务水平提高的关键期。党的十九大作出了建设交通强国的重大战略决策，显著提升了交通运输在社会主义现代化强国建设和现代化经济体系中的战略地位。在《交通强国建设纲要》宣贯暨试点工作部署视频会议中，浙江入选首批交通强国建设试点，力争用1-2年时间取得试点任务的阶段性成果，用3-5年时间取得相对完善的系统性成果，打造一批先行先试典型样板。浙江的交通发展也将进入新阶段、开启新征程，全力打造交通强国建设示范区、更高质量发展先行区、人民满意交通样板区。</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十四五”时期是全面推进交通强国建设的第一个五年，平阳应紧紧围绕交通强国建设这一长远战略目标，对照交通强国建设纲要、国家合立体交通网规划纲要等部署要求，加快综合交通网联网贯通，推动各种运输方式一体化融合发展，提升综合运输整体优势和组合效率，加快构建安全、便捷、高效、绿色、经济的现代化综合交通体系，协助构建区域一体化综合立体交通网络，切实负担起建设交通强国赋予平阳的新使命。</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2</w:t>
      </w:r>
      <w:r>
        <w:rPr>
          <w:rFonts w:hint="eastAsia" w:cs="Times New Roman"/>
          <w:b/>
          <w:bCs/>
          <w:sz w:val="32"/>
          <w:szCs w:val="32"/>
          <w:lang w:val="en-US" w:eastAsia="zh-CN"/>
        </w:rPr>
        <w:t>．</w:t>
      </w:r>
      <w:r>
        <w:rPr>
          <w:rFonts w:hint="default" w:ascii="Times New Roman" w:hAnsi="Times New Roman" w:cs="Times New Roman"/>
          <w:b/>
          <w:bCs/>
          <w:sz w:val="32"/>
          <w:szCs w:val="32"/>
          <w:lang w:val="en-US" w:eastAsia="zh-CN"/>
        </w:rPr>
        <w:t xml:space="preserve">省级层面 </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我省深入贯彻落实习近平总书记考察浙江重要讲话精神，对标</w:t>
      </w:r>
      <w:r>
        <w:rPr>
          <w:rFonts w:hint="eastAsia" w:cs="Times New Roman"/>
          <w:sz w:val="32"/>
          <w:szCs w:val="32"/>
          <w:lang w:eastAsia="zh-CN"/>
        </w:rPr>
        <w:t>习</w:t>
      </w:r>
      <w:r>
        <w:rPr>
          <w:rFonts w:hint="default" w:ascii="Times New Roman" w:hAnsi="Times New Roman" w:cs="Times New Roman"/>
          <w:sz w:val="32"/>
          <w:szCs w:val="32"/>
        </w:rPr>
        <w:t>近平总书记对浙江工作提出的“努力成为新时代全面展示中国特色社会主义制度优越性的重要窗口”这一新目标新定位，持之以恒大抓交通、抓大交通，加快建设高水平交通强省。交通是经济社会发展的先行官，也是“重要窗口”建设的先行领域，对提高竞争力、推进现代化、展示优越性具有重要的先导作用、支撑作用和带动作用。“十四五”时期是“两个高水平”建设取得新进展、“八八战略”再深化、改革开放再出发的关键时期，应聚焦省域、市域、城区3个“1小时交通圈”、世界一流强港、智慧高速公路、高水平“四好农村路”建设和“四港”联动发展，全面完成“1210”交通强省行动计划。“十四五”时期浙江省综合交通将着力构建立体高效的综合交通网络，重点推进关键通道能力提升、加密拓展网络覆盖和综合交通枢纽建设，要求平阳加快打造多层次交通骨架网络，加强与国土空间规划的衔接，以谋划实施一批重大交通投资项目为抓手，全力实施交通“三区”建设，努力建设人民满意交通，为社会</w:t>
      </w:r>
      <w:r>
        <w:rPr>
          <w:rFonts w:hint="eastAsia" w:cs="Times New Roman"/>
          <w:sz w:val="32"/>
          <w:szCs w:val="32"/>
          <w:lang w:eastAsia="zh-CN"/>
        </w:rPr>
        <w:t>主义</w:t>
      </w:r>
      <w:r>
        <w:rPr>
          <w:rFonts w:hint="default" w:ascii="Times New Roman" w:hAnsi="Times New Roman" w:cs="Times New Roman"/>
          <w:sz w:val="32"/>
          <w:szCs w:val="32"/>
        </w:rPr>
        <w:t>现代化强国当好先行官。</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3</w:t>
      </w:r>
      <w:r>
        <w:rPr>
          <w:rFonts w:hint="eastAsia" w:cs="Times New Roman"/>
          <w:b/>
          <w:bCs/>
          <w:sz w:val="32"/>
          <w:szCs w:val="32"/>
          <w:lang w:val="en-US" w:eastAsia="zh-CN"/>
        </w:rPr>
        <w:t>．</w:t>
      </w:r>
      <w:r>
        <w:rPr>
          <w:rFonts w:hint="default" w:ascii="Times New Roman" w:hAnsi="Times New Roman" w:cs="Times New Roman"/>
          <w:b/>
          <w:bCs/>
          <w:sz w:val="32"/>
          <w:szCs w:val="32"/>
          <w:lang w:val="en-US" w:eastAsia="zh-CN"/>
        </w:rPr>
        <w:t>温州市级层面</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平阳介于发达的长江三角洲与正在快速发展的海峡西岸经济区之间，向北接受长三角地区的经济辐射和产业转移，向南可融入海峡西岸经济区，具有明显的区位优势。“十四五”期间，温州将以加快建设“五城五高地”为重要支撑，全力“做强全省第三极、建好长三角南大门”，高质量完成交通强国建设试点，加快形成枢纽能级强、出行品质优、运输效率高、行业治理智的现代化综合交通运输体系，综合交通网络更加完善，运输服务水平大幅提升，先行引领作用明显增强，基本建成全国性综合交通枢纽。其中作为温州都市区南部副中心的组成部分，平阳应牢牢把握鳌江流域一体化发展历史机遇期，以综合交通廊道为支撑，推动运输通道内资源优化配置，主动融入、积极对接、双向发力，加快推进温州南部交通一体化。平阳要积极融入省域和温州大都市区交通格，加快县域和城市的对外交通和站场建设，提高区域交通一体化水平。</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4</w:t>
      </w:r>
      <w:r>
        <w:rPr>
          <w:rFonts w:hint="eastAsia" w:cs="Times New Roman"/>
          <w:b/>
          <w:bCs/>
          <w:sz w:val="32"/>
          <w:szCs w:val="32"/>
          <w:lang w:val="en-US" w:eastAsia="zh-CN"/>
        </w:rPr>
        <w:t>．</w:t>
      </w:r>
      <w:r>
        <w:rPr>
          <w:rFonts w:hint="default" w:ascii="Times New Roman" w:hAnsi="Times New Roman" w:cs="Times New Roman"/>
          <w:b/>
          <w:bCs/>
          <w:sz w:val="32"/>
          <w:szCs w:val="32"/>
          <w:lang w:val="en-US" w:eastAsia="zh-CN"/>
        </w:rPr>
        <w:t>平阳县级层面</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中共平阳</w:t>
      </w:r>
      <w:r>
        <w:rPr>
          <w:rFonts w:hint="default" w:cs="Times New Roman"/>
          <w:sz w:val="32"/>
          <w:szCs w:val="32"/>
          <w:lang w:val="en"/>
        </w:rPr>
        <w:t>县第十三次党代会</w:t>
      </w:r>
      <w:r>
        <w:rPr>
          <w:rFonts w:hint="default" w:ascii="Times New Roman" w:hAnsi="Times New Roman" w:cs="Times New Roman"/>
          <w:sz w:val="32"/>
          <w:szCs w:val="32"/>
        </w:rPr>
        <w:t xml:space="preserve">第四次会议确立了平阳锚定加快建设温州大都市区副中心的奋斗目标、全力打造“三区两中心”、深入践行“一三五”工作路径、持续奋战“十大攻坚行动”的决策部署。交通运输是国民经济的基础性、先导性产业，要求平阳加快推动基础设施建设，整合公、铁、水、航各种交通运输资源，优化运输结构，构建布局完善、互联互通、能力充分、安全可靠的县域综合立体交通网络体系，助力县域三区联动发展，为现代化产业发展提供有力支撑。 </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eastAsia="楷体_GB2312" w:cs="Times New Roman"/>
          <w:b w:val="0"/>
          <w:bCs w:val="0"/>
          <w:sz w:val="32"/>
          <w:szCs w:val="32"/>
          <w:lang w:val="en-US" w:eastAsia="zh-CN"/>
        </w:rPr>
      </w:pPr>
      <w:bookmarkStart w:id="18" w:name="_Toc102660571"/>
      <w:r>
        <w:rPr>
          <w:rFonts w:hint="default" w:ascii="Times New Roman" w:hAnsi="Times New Roman" w:eastAsia="楷体_GB2312" w:cs="Times New Roman"/>
          <w:b w:val="0"/>
          <w:bCs w:val="0"/>
          <w:sz w:val="32"/>
          <w:szCs w:val="32"/>
          <w:lang w:val="en-US" w:eastAsia="zh-CN"/>
        </w:rPr>
        <w:t>（二）发展需求</w:t>
      </w:r>
      <w:bookmarkEnd w:id="18"/>
      <w:bookmarkStart w:id="19" w:name="_Toc35595497"/>
    </w:p>
    <w:bookmarkEnd w:id="19"/>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十四五”时期，经济发展总体进入趋势性放缓和结构性调整的重要阶段。随着平阳县经济总量规模不断提高，人们生活更加殷实富裕，客货运输交通需求总量随经济发展和人们生活水平提高而稳步增长，对交通服务品质的要求也不断提高，这将带来交通运输需求总量、客货运输和不同运输方式间结构分布的变化。</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1</w:t>
      </w:r>
      <w:r>
        <w:rPr>
          <w:rFonts w:hint="eastAsia" w:cs="Times New Roman"/>
          <w:b/>
          <w:bCs/>
          <w:sz w:val="32"/>
          <w:szCs w:val="32"/>
          <w:lang w:val="en-US" w:eastAsia="zh-CN"/>
        </w:rPr>
        <w:t>．</w:t>
      </w:r>
      <w:r>
        <w:rPr>
          <w:rFonts w:hint="default" w:ascii="Times New Roman" w:hAnsi="Times New Roman" w:cs="Times New Roman"/>
          <w:b/>
          <w:bCs/>
          <w:sz w:val="32"/>
          <w:szCs w:val="32"/>
          <w:lang w:val="en-US" w:eastAsia="zh-CN"/>
        </w:rPr>
        <w:t>需求特征</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val="0"/>
          <w:bCs w:val="0"/>
          <w:sz w:val="32"/>
          <w:szCs w:val="32"/>
          <w:lang w:val="en-US" w:eastAsia="zh-CN"/>
        </w:rPr>
      </w:pPr>
      <w:bookmarkStart w:id="20" w:name="_Toc502305914"/>
      <w:r>
        <w:rPr>
          <w:rFonts w:hint="default" w:ascii="Times New Roman" w:hAnsi="Times New Roman" w:cs="Times New Roman"/>
          <w:b w:val="0"/>
          <w:bCs w:val="0"/>
          <w:sz w:val="32"/>
          <w:szCs w:val="32"/>
          <w:lang w:val="en-US" w:eastAsia="zh-CN"/>
        </w:rPr>
        <w:t>（1）客运需求总量不断</w:t>
      </w:r>
      <w:bookmarkEnd w:id="20"/>
      <w:r>
        <w:rPr>
          <w:rFonts w:hint="default" w:ascii="Times New Roman" w:hAnsi="Times New Roman" w:cs="Times New Roman"/>
          <w:b w:val="0"/>
          <w:bCs w:val="0"/>
          <w:sz w:val="32"/>
          <w:szCs w:val="32"/>
          <w:lang w:val="en-US" w:eastAsia="zh-CN"/>
        </w:rPr>
        <w:t>增加，铁路占比显著提高</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十四五”时期，平阳县客运需求总量持续增加，增速不断加快。2010年至2019年，平阳县历年客运量发展整体呈现波动上升的趋势，客运需求总量不断增加。未来平阳县跨区域、城市内部交通出行需求总规模将持续增长，对交通出行方式的快速性、便捷性、舒适性等品质要求将不断提高。在甬台温高铁、高等级公路网络不断完善的交通网络新格局下，公共交通旅客运输的分担率将不断提高。水运客运量保持小基数增长，运输结构占比仍然不高。</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val="0"/>
          <w:bCs w:val="0"/>
          <w:sz w:val="32"/>
          <w:szCs w:val="32"/>
          <w:lang w:val="en-US" w:eastAsia="zh-CN"/>
        </w:rPr>
      </w:pPr>
      <w:bookmarkStart w:id="21" w:name="_Toc502305916"/>
      <w:r>
        <w:rPr>
          <w:rFonts w:hint="default" w:ascii="Times New Roman" w:hAnsi="Times New Roman" w:cs="Times New Roman"/>
          <w:b w:val="0"/>
          <w:bCs w:val="0"/>
          <w:sz w:val="32"/>
          <w:szCs w:val="32"/>
          <w:lang w:val="en-US" w:eastAsia="zh-CN"/>
        </w:rPr>
        <w:t>（2）货物运输结构不断优化</w:t>
      </w:r>
      <w:bookmarkEnd w:id="21"/>
      <w:r>
        <w:rPr>
          <w:rFonts w:hint="default" w:ascii="Times New Roman" w:hAnsi="Times New Roman" w:cs="Times New Roman"/>
          <w:b w:val="0"/>
          <w:bCs w:val="0"/>
          <w:sz w:val="32"/>
          <w:szCs w:val="32"/>
          <w:lang w:val="en-US" w:eastAsia="zh-CN"/>
        </w:rPr>
        <w:t>，水运运输逐步复苏</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随着经济结构和产业结构的不断变化，平阳逐步进入后工业化阶段，第三产业比重将显著提高。总体上看，2010年至2019年平阳县货运量发展势头并不明显。但随着经济持续快速稳定增长、经济规模继续扩大，货物运输需求也将保持一定速度增长，运输结构日趋合理。随着平阳港区的不断发展，多式联运需求规模和占比将不断提高，铁路集装箱运输得到发展。快递物流运输需求将从爆发式增长转向快速增长，冷链物流和农村物流运输需求增长空间巨大，公路货运将在短途运输中发挥更大作用。“十四五”时期，全县水运的货运占比将略有上升，但公路仍将占据货运主体地位。</w:t>
      </w:r>
    </w:p>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表2-1</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平阳县2010-2018年客货运量（万人、万吨）</w:t>
      </w:r>
    </w:p>
    <w:tbl>
      <w:tblPr>
        <w:tblStyle w:val="16"/>
        <w:tblW w:w="8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972"/>
        <w:gridCol w:w="992"/>
        <w:gridCol w:w="992"/>
        <w:gridCol w:w="992"/>
        <w:gridCol w:w="993"/>
        <w:gridCol w:w="992"/>
        <w:gridCol w:w="996"/>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8" w:type="dxa"/>
            <w:vMerge w:val="restart"/>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年份</w:t>
            </w:r>
          </w:p>
        </w:tc>
        <w:tc>
          <w:tcPr>
            <w:tcW w:w="1964" w:type="dxa"/>
            <w:gridSpan w:val="2"/>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铁路</w:t>
            </w:r>
          </w:p>
        </w:tc>
        <w:tc>
          <w:tcPr>
            <w:tcW w:w="1984" w:type="dxa"/>
            <w:gridSpan w:val="2"/>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公路</w:t>
            </w:r>
          </w:p>
        </w:tc>
        <w:tc>
          <w:tcPr>
            <w:tcW w:w="1985" w:type="dxa"/>
            <w:gridSpan w:val="2"/>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水运</w:t>
            </w:r>
          </w:p>
        </w:tc>
        <w:tc>
          <w:tcPr>
            <w:tcW w:w="1984" w:type="dxa"/>
            <w:gridSpan w:val="2"/>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全方式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8" w:type="dxa"/>
            <w:vMerge w:val="continue"/>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p>
        </w:tc>
        <w:tc>
          <w:tcPr>
            <w:tcW w:w="97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客运量</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货运量</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客运量</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货运量</w:t>
            </w:r>
          </w:p>
        </w:tc>
        <w:tc>
          <w:tcPr>
            <w:tcW w:w="99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客运量</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货运量</w:t>
            </w:r>
          </w:p>
        </w:tc>
        <w:tc>
          <w:tcPr>
            <w:tcW w:w="9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客运量</w:t>
            </w:r>
          </w:p>
        </w:tc>
        <w:tc>
          <w:tcPr>
            <w:tcW w:w="98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货运量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2010</w:t>
            </w:r>
          </w:p>
        </w:tc>
        <w:tc>
          <w:tcPr>
            <w:tcW w:w="97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2845</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690</w:t>
            </w:r>
          </w:p>
        </w:tc>
        <w:tc>
          <w:tcPr>
            <w:tcW w:w="99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12.21</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72.98</w:t>
            </w:r>
          </w:p>
        </w:tc>
        <w:tc>
          <w:tcPr>
            <w:tcW w:w="9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2857.21</w:t>
            </w:r>
          </w:p>
        </w:tc>
        <w:tc>
          <w:tcPr>
            <w:tcW w:w="98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762.98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2011</w:t>
            </w:r>
          </w:p>
        </w:tc>
        <w:tc>
          <w:tcPr>
            <w:tcW w:w="97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3545</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656</w:t>
            </w:r>
          </w:p>
        </w:tc>
        <w:tc>
          <w:tcPr>
            <w:tcW w:w="99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12.52</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80.39</w:t>
            </w:r>
          </w:p>
        </w:tc>
        <w:tc>
          <w:tcPr>
            <w:tcW w:w="9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3557.52</w:t>
            </w:r>
          </w:p>
        </w:tc>
        <w:tc>
          <w:tcPr>
            <w:tcW w:w="98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736.39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2012</w:t>
            </w:r>
          </w:p>
        </w:tc>
        <w:tc>
          <w:tcPr>
            <w:tcW w:w="97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3198</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706</w:t>
            </w:r>
          </w:p>
        </w:tc>
        <w:tc>
          <w:tcPr>
            <w:tcW w:w="99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12.51</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78.18</w:t>
            </w:r>
          </w:p>
        </w:tc>
        <w:tc>
          <w:tcPr>
            <w:tcW w:w="9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3210.51</w:t>
            </w:r>
          </w:p>
        </w:tc>
        <w:tc>
          <w:tcPr>
            <w:tcW w:w="98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784.18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2013</w:t>
            </w:r>
          </w:p>
        </w:tc>
        <w:tc>
          <w:tcPr>
            <w:tcW w:w="97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2747</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558</w:t>
            </w:r>
          </w:p>
        </w:tc>
        <w:tc>
          <w:tcPr>
            <w:tcW w:w="99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13.56</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70.82</w:t>
            </w:r>
          </w:p>
        </w:tc>
        <w:tc>
          <w:tcPr>
            <w:tcW w:w="9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2760.56</w:t>
            </w:r>
          </w:p>
        </w:tc>
        <w:tc>
          <w:tcPr>
            <w:tcW w:w="98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628.82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2014</w:t>
            </w:r>
          </w:p>
        </w:tc>
        <w:tc>
          <w:tcPr>
            <w:tcW w:w="97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2626</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543</w:t>
            </w:r>
          </w:p>
        </w:tc>
        <w:tc>
          <w:tcPr>
            <w:tcW w:w="99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18.73</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72.95</w:t>
            </w:r>
          </w:p>
        </w:tc>
        <w:tc>
          <w:tcPr>
            <w:tcW w:w="9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2644.73</w:t>
            </w:r>
          </w:p>
        </w:tc>
        <w:tc>
          <w:tcPr>
            <w:tcW w:w="98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615.95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2015</w:t>
            </w:r>
          </w:p>
        </w:tc>
        <w:tc>
          <w:tcPr>
            <w:tcW w:w="97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3201</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625</w:t>
            </w:r>
          </w:p>
        </w:tc>
        <w:tc>
          <w:tcPr>
            <w:tcW w:w="99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13.33</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53.6</w:t>
            </w:r>
          </w:p>
        </w:tc>
        <w:tc>
          <w:tcPr>
            <w:tcW w:w="9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3214.33</w:t>
            </w:r>
          </w:p>
        </w:tc>
        <w:tc>
          <w:tcPr>
            <w:tcW w:w="98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678.60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2016</w:t>
            </w:r>
          </w:p>
        </w:tc>
        <w:tc>
          <w:tcPr>
            <w:tcW w:w="97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3018</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701</w:t>
            </w:r>
          </w:p>
        </w:tc>
        <w:tc>
          <w:tcPr>
            <w:tcW w:w="99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15.21</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63.25</w:t>
            </w:r>
          </w:p>
        </w:tc>
        <w:tc>
          <w:tcPr>
            <w:tcW w:w="9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3033.21</w:t>
            </w:r>
          </w:p>
        </w:tc>
        <w:tc>
          <w:tcPr>
            <w:tcW w:w="98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764.25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2017</w:t>
            </w:r>
          </w:p>
        </w:tc>
        <w:tc>
          <w:tcPr>
            <w:tcW w:w="97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2992</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473</w:t>
            </w:r>
          </w:p>
        </w:tc>
        <w:tc>
          <w:tcPr>
            <w:tcW w:w="99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17.99</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87.95</w:t>
            </w:r>
          </w:p>
        </w:tc>
        <w:tc>
          <w:tcPr>
            <w:tcW w:w="9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3009.99</w:t>
            </w:r>
          </w:p>
        </w:tc>
        <w:tc>
          <w:tcPr>
            <w:tcW w:w="98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560.95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2018</w:t>
            </w:r>
          </w:p>
        </w:tc>
        <w:tc>
          <w:tcPr>
            <w:tcW w:w="97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3985</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639</w:t>
            </w:r>
          </w:p>
        </w:tc>
        <w:tc>
          <w:tcPr>
            <w:tcW w:w="99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15.36</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37.56</w:t>
            </w:r>
          </w:p>
        </w:tc>
        <w:tc>
          <w:tcPr>
            <w:tcW w:w="9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4000.36</w:t>
            </w:r>
          </w:p>
        </w:tc>
        <w:tc>
          <w:tcPr>
            <w:tcW w:w="98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676.56</w:t>
            </w:r>
          </w:p>
        </w:tc>
      </w:tr>
    </w:tbl>
    <w:p>
      <w:pPr>
        <w:keepNext w:val="0"/>
        <w:keepLines w:val="0"/>
        <w:pageBreakBefore w:val="0"/>
        <w:widowControl w:val="0"/>
        <w:kinsoku/>
        <w:wordWrap/>
        <w:overflowPunct/>
        <w:topLinePunct w:val="0"/>
        <w:autoSpaceDE/>
        <w:autoSpaceDN/>
        <w:bidi w:val="0"/>
        <w:adjustRightInd/>
        <w:snapToGrid w:val="0"/>
        <w:spacing w:line="240" w:lineRule="auto"/>
        <w:ind w:firstLine="560"/>
        <w:textAlignment w:val="auto"/>
        <w:rPr>
          <w:rFonts w:hint="default" w:ascii="Times New Roman" w:hAnsi="Times New Roman" w:cs="Times New Roman"/>
          <w:szCs w:val="28"/>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right="0" w:firstLine="0" w:firstLineChars="0"/>
        <w:jc w:val="center"/>
        <w:textAlignment w:val="auto"/>
        <w:rPr>
          <w:rFonts w:hint="default" w:ascii="Times New Roman" w:hAnsi="Times New Roman" w:cs="Times New Roman"/>
        </w:rPr>
      </w:pPr>
      <w:r>
        <w:rPr>
          <w:rFonts w:hint="default" w:ascii="Times New Roman" w:hAnsi="Times New Roman" w:eastAsia="仿宋_GB2312" w:cs="Times New Roman"/>
          <w:snapToGrid/>
          <w:kern w:val="2"/>
          <w:sz w:val="28"/>
          <w:szCs w:val="28"/>
          <w:lang w:val="en-US" w:eastAsia="zh-CN" w:bidi="ar"/>
        </w:rPr>
        <w:drawing>
          <wp:inline distT="0" distB="0" distL="114300" distR="114300">
            <wp:extent cx="4211955" cy="2447290"/>
            <wp:effectExtent l="0" t="0" r="17145" b="10160"/>
            <wp:docPr id="1"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true"/>
                    </pic:cNvPicPr>
                  </pic:nvPicPr>
                  <pic:blipFill>
                    <a:blip r:embed="rId12"/>
                    <a:stretch>
                      <a:fillRect/>
                    </a:stretch>
                  </pic:blipFill>
                  <pic:spPr>
                    <a:xfrm>
                      <a:off x="0" y="0"/>
                      <a:ext cx="4211955" cy="2447290"/>
                    </a:xfrm>
                    <a:prstGeom prst="rect">
                      <a:avLst/>
                    </a:prstGeom>
                    <a:noFill/>
                    <a:ln w="9525">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图2-1</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平阳县2010-2018年客运量（万人）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cs="Times New Roman"/>
          <w:szCs w:val="28"/>
        </w:rPr>
      </w:pPr>
      <w:r>
        <w:rPr>
          <w:rFonts w:hint="default" w:ascii="Times New Roman" w:hAnsi="Times New Roman" w:eastAsia="仿宋_GB2312" w:cs="Times New Roman"/>
          <w:snapToGrid/>
          <w:kern w:val="2"/>
          <w:sz w:val="28"/>
          <w:szCs w:val="28"/>
          <w:lang w:val="en-US" w:eastAsia="zh-CN" w:bidi="ar"/>
        </w:rPr>
        <w:drawing>
          <wp:inline distT="0" distB="0" distL="114300" distR="114300">
            <wp:extent cx="4283710" cy="2489200"/>
            <wp:effectExtent l="0" t="0" r="2540" b="6350"/>
            <wp:docPr id="2" name="图片 2"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true"/>
                    </pic:cNvPicPr>
                  </pic:nvPicPr>
                  <pic:blipFill>
                    <a:blip r:embed="rId13"/>
                    <a:stretch>
                      <a:fillRect/>
                    </a:stretch>
                  </pic:blipFill>
                  <pic:spPr>
                    <a:xfrm>
                      <a:off x="0" y="0"/>
                      <a:ext cx="4283710" cy="2489200"/>
                    </a:xfrm>
                    <a:prstGeom prst="rect">
                      <a:avLst/>
                    </a:prstGeom>
                    <a:noFill/>
                    <a:ln w="9525">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图2-2</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平阳县2010-2018年货运量（万吨）</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2</w:t>
      </w:r>
      <w:r>
        <w:rPr>
          <w:rFonts w:hint="eastAsia" w:cs="Times New Roman"/>
          <w:b/>
          <w:bCs/>
          <w:sz w:val="32"/>
          <w:szCs w:val="32"/>
          <w:lang w:val="en-US" w:eastAsia="zh-CN"/>
        </w:rPr>
        <w:t>．</w:t>
      </w:r>
      <w:r>
        <w:rPr>
          <w:rFonts w:hint="default" w:ascii="Times New Roman" w:hAnsi="Times New Roman" w:cs="Times New Roman"/>
          <w:b/>
          <w:bCs/>
          <w:sz w:val="32"/>
          <w:szCs w:val="32"/>
          <w:lang w:val="en-US" w:eastAsia="zh-CN"/>
        </w:rPr>
        <w:t>需求预测</w:t>
      </w:r>
    </w:p>
    <w:p>
      <w:pPr>
        <w:keepNext w:val="0"/>
        <w:keepLines w:val="0"/>
        <w:pageBreakBefore w:val="0"/>
        <w:widowControl w:val="0"/>
        <w:kinsoku/>
        <w:wordWrap/>
        <w:overflowPunct/>
        <w:topLinePunct w:val="0"/>
        <w:autoSpaceDE/>
        <w:autoSpaceDN/>
        <w:bidi w:val="0"/>
        <w:spacing w:line="560" w:lineRule="exact"/>
        <w:ind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综合考虑历年各运输方式发展态势以及未来平阳社会、经济、产业和交通发展趋势的判断，分别采用回归模型、对数模型、弹性系数模型三种预测方法，对平阳县2025年的区域客、货运交通需求进行预测。</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val="0"/>
          <w:bCs w:val="0"/>
          <w:sz w:val="32"/>
          <w:szCs w:val="32"/>
          <w:lang w:val="en-US" w:eastAsia="zh-CN"/>
        </w:rPr>
      </w:pPr>
      <w:r>
        <w:rPr>
          <w:rFonts w:hint="default" w:ascii="Times New Roman" w:hAnsi="Times New Roman" w:cs="Times New Roman"/>
          <w:b w:val="0"/>
          <w:bCs w:val="0"/>
          <w:sz w:val="32"/>
          <w:szCs w:val="32"/>
          <w:lang w:val="en-US" w:eastAsia="zh-CN"/>
        </w:rPr>
        <w:t>（1）回归模型</w:t>
      </w:r>
    </w:p>
    <w:p>
      <w:pPr>
        <w:pStyle w:val="23"/>
        <w:keepNext w:val="0"/>
        <w:keepLines w:val="0"/>
        <w:pageBreakBefore w:val="0"/>
        <w:widowControl w:val="0"/>
        <w:kinsoku/>
        <w:wordWrap/>
        <w:overflowPunct/>
        <w:topLinePunct w:val="0"/>
        <w:autoSpaceDE/>
        <w:autoSpaceDN/>
        <w:bidi w:val="0"/>
        <w:spacing w:line="560" w:lineRule="exact"/>
        <w:ind w:firstLine="56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由基础数据获得：</w:t>
      </w:r>
    </w:p>
    <w:p>
      <w:pPr>
        <w:pStyle w:val="21"/>
        <w:keepNext w:val="0"/>
        <w:keepLines w:val="0"/>
        <w:pageBreakBefore w:val="0"/>
        <w:widowControl w:val="0"/>
        <w:numPr>
          <w:ilvl w:val="0"/>
          <w:numId w:val="0"/>
        </w:numPr>
        <w:kinsoku/>
        <w:wordWrap/>
        <w:overflowPunct/>
        <w:topLinePunct w:val="0"/>
        <w:autoSpaceDE/>
        <w:autoSpaceDN/>
        <w:bidi w:val="0"/>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表2-2</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客货运量回归预测模型</w:t>
      </w:r>
    </w:p>
    <w:tbl>
      <w:tblPr>
        <w:tblStyle w:val="16"/>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2"/>
        <w:gridCol w:w="3796"/>
        <w:gridCol w:w="3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预测指标</w:t>
            </w:r>
          </w:p>
        </w:tc>
        <w:tc>
          <w:tcPr>
            <w:tcW w:w="37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回归函数</w:t>
            </w:r>
          </w:p>
        </w:tc>
        <w:tc>
          <w:tcPr>
            <w:tcW w:w="302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相关系数（R</w:t>
            </w:r>
            <w:r>
              <w:rPr>
                <w:rFonts w:hint="default" w:ascii="Times New Roman" w:hAnsi="Times New Roman" w:cs="Times New Roman"/>
                <w:b/>
                <w:bCs/>
                <w:sz w:val="24"/>
                <w:szCs w:val="24"/>
                <w:vertAlign w:val="superscript"/>
              </w:rPr>
              <w:t>2</w:t>
            </w:r>
            <w:r>
              <w:rPr>
                <w:rFonts w:hint="default" w:ascii="Times New Roman" w:hAnsi="Times New Roman" w:cs="Times New Roma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客运量</w:t>
            </w:r>
          </w:p>
        </w:tc>
        <w:tc>
          <w:tcPr>
            <w:tcW w:w="37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y = 251.09x - 503009</w:t>
            </w:r>
          </w:p>
        </w:tc>
        <w:tc>
          <w:tcPr>
            <w:tcW w:w="302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0.7425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货运量</w:t>
            </w:r>
          </w:p>
        </w:tc>
        <w:tc>
          <w:tcPr>
            <w:tcW w:w="37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y = 10.199x - 19896</w:t>
            </w:r>
          </w:p>
        </w:tc>
        <w:tc>
          <w:tcPr>
            <w:tcW w:w="302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0.0666</w:t>
            </w:r>
          </w:p>
        </w:tc>
      </w:tr>
    </w:tbl>
    <w:p>
      <w:pPr>
        <w:keepNext w:val="0"/>
        <w:keepLines w:val="0"/>
        <w:pageBreakBefore w:val="0"/>
        <w:widowControl w:val="0"/>
        <w:kinsoku/>
        <w:wordWrap/>
        <w:overflowPunct/>
        <w:topLinePunct w:val="0"/>
        <w:autoSpaceDE/>
        <w:autoSpaceDN/>
        <w:bidi w:val="0"/>
        <w:adjustRightInd/>
        <w:snapToGrid w:val="0"/>
        <w:spacing w:beforeLines="50" w:line="560" w:lineRule="exact"/>
        <w:ind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根据回归模型计算得到“十四五”时期平阳县客货运量如下表。</w:t>
      </w:r>
    </w:p>
    <w:p>
      <w:pPr>
        <w:pStyle w:val="21"/>
        <w:keepNext w:val="0"/>
        <w:keepLines w:val="0"/>
        <w:pageBreakBefore w:val="0"/>
        <w:widowControl w:val="0"/>
        <w:numPr>
          <w:ilvl w:val="0"/>
          <w:numId w:val="0"/>
        </w:numPr>
        <w:kinsoku/>
        <w:wordWrap/>
        <w:overflowPunct/>
        <w:topLinePunct w:val="0"/>
        <w:autoSpaceDE/>
        <w:autoSpaceDN/>
        <w:bidi w:val="0"/>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表2-3</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回归模型预测结果</w:t>
      </w:r>
    </w:p>
    <w:tbl>
      <w:tblPr>
        <w:tblStyle w:val="16"/>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7"/>
        <w:gridCol w:w="3252"/>
        <w:gridCol w:w="3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397"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年份</w:t>
            </w:r>
          </w:p>
        </w:tc>
        <w:tc>
          <w:tcPr>
            <w:tcW w:w="325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客运量（万人）</w:t>
            </w:r>
          </w:p>
        </w:tc>
        <w:tc>
          <w:tcPr>
            <w:tcW w:w="325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货运量（万吨）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397"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2018年</w:t>
            </w:r>
          </w:p>
        </w:tc>
        <w:tc>
          <w:tcPr>
            <w:tcW w:w="3252" w:type="dxa"/>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 xml:space="preserve">4000.36 </w:t>
            </w:r>
          </w:p>
        </w:tc>
        <w:tc>
          <w:tcPr>
            <w:tcW w:w="3252" w:type="dxa"/>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b/>
                <w:bCs/>
                <w:sz w:val="24"/>
                <w:szCs w:val="24"/>
              </w:rPr>
            </w:pPr>
            <w:r>
              <w:rPr>
                <w:rFonts w:hint="default" w:ascii="Times New Roman" w:hAnsi="Times New Roman" w:cs="Times New Roman"/>
                <w:sz w:val="24"/>
                <w:szCs w:val="24"/>
              </w:rPr>
              <w:t xml:space="preserve">676.56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397"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2021年</w:t>
            </w:r>
          </w:p>
        </w:tc>
        <w:tc>
          <w:tcPr>
            <w:tcW w:w="325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4443.89</w:t>
            </w:r>
          </w:p>
        </w:tc>
        <w:tc>
          <w:tcPr>
            <w:tcW w:w="325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716.18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397"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2025年</w:t>
            </w:r>
          </w:p>
        </w:tc>
        <w:tc>
          <w:tcPr>
            <w:tcW w:w="325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5448.25</w:t>
            </w:r>
          </w:p>
        </w:tc>
        <w:tc>
          <w:tcPr>
            <w:tcW w:w="325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756.97</w:t>
            </w:r>
          </w:p>
        </w:tc>
      </w:tr>
    </w:tbl>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（2）对数模型</w:t>
      </w:r>
    </w:p>
    <w:p>
      <w:pPr>
        <w:pStyle w:val="23"/>
        <w:keepNext w:val="0"/>
        <w:keepLines w:val="0"/>
        <w:pageBreakBefore w:val="0"/>
        <w:widowControl w:val="0"/>
        <w:kinsoku/>
        <w:wordWrap/>
        <w:overflowPunct/>
        <w:topLinePunct w:val="0"/>
        <w:autoSpaceDE/>
        <w:autoSpaceDN/>
        <w:bidi w:val="0"/>
        <w:spacing w:line="560" w:lineRule="exact"/>
        <w:ind w:firstLine="56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由基础数据获得：</w:t>
      </w:r>
    </w:p>
    <w:p>
      <w:pPr>
        <w:pStyle w:val="21"/>
        <w:keepNext w:val="0"/>
        <w:keepLines w:val="0"/>
        <w:pageBreakBefore w:val="0"/>
        <w:widowControl w:val="0"/>
        <w:numPr>
          <w:ilvl w:val="0"/>
          <w:numId w:val="0"/>
        </w:numPr>
        <w:kinsoku/>
        <w:wordWrap/>
        <w:overflowPunct/>
        <w:topLinePunct w:val="0"/>
        <w:autoSpaceDE/>
        <w:autoSpaceDN/>
        <w:bidi w:val="0"/>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表2-4</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客货运量对数预测模型</w:t>
      </w:r>
    </w:p>
    <w:tbl>
      <w:tblPr>
        <w:tblStyle w:val="16"/>
        <w:tblW w:w="8901" w:type="dxa"/>
        <w:jc w:val="center"/>
        <w:tblLayout w:type="fixed"/>
        <w:tblCellMar>
          <w:top w:w="0" w:type="dxa"/>
          <w:left w:w="108" w:type="dxa"/>
          <w:bottom w:w="0" w:type="dxa"/>
          <w:right w:w="108" w:type="dxa"/>
        </w:tblCellMar>
      </w:tblPr>
      <w:tblGrid>
        <w:gridCol w:w="1868"/>
        <w:gridCol w:w="4090"/>
        <w:gridCol w:w="2943"/>
      </w:tblGrid>
      <w:tr>
        <w:tblPrEx>
          <w:tblCellMar>
            <w:top w:w="0" w:type="dxa"/>
            <w:left w:w="108" w:type="dxa"/>
            <w:bottom w:w="0" w:type="dxa"/>
            <w:right w:w="108" w:type="dxa"/>
          </w:tblCellMar>
        </w:tblPrEx>
        <w:trPr>
          <w:trHeight w:val="397" w:hRule="atLeast"/>
          <w:jc w:val="center"/>
        </w:trPr>
        <w:tc>
          <w:tcPr>
            <w:tcW w:w="1868" w:type="dxa"/>
            <w:tcBorders>
              <w:top w:val="single" w:color="auto" w:sz="4" w:space="0"/>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预测指标</w:t>
            </w:r>
          </w:p>
        </w:tc>
        <w:tc>
          <w:tcPr>
            <w:tcW w:w="4090" w:type="dxa"/>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对数函数</w:t>
            </w:r>
          </w:p>
        </w:tc>
        <w:tc>
          <w:tcPr>
            <w:tcW w:w="2943" w:type="dxa"/>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相关系数（R</w:t>
            </w:r>
            <w:r>
              <w:rPr>
                <w:rFonts w:hint="default" w:ascii="Times New Roman" w:hAnsi="Times New Roman" w:cs="Times New Roman"/>
                <w:b/>
                <w:bCs/>
                <w:sz w:val="24"/>
                <w:szCs w:val="24"/>
                <w:vertAlign w:val="superscript"/>
              </w:rPr>
              <w:t>2</w:t>
            </w:r>
            <w:r>
              <w:rPr>
                <w:rFonts w:hint="default" w:ascii="Times New Roman" w:hAnsi="Times New Roman" w:cs="Times New Roman"/>
                <w:b/>
                <w:bCs/>
                <w:sz w:val="24"/>
                <w:szCs w:val="24"/>
              </w:rPr>
              <w:t>）</w:t>
            </w:r>
          </w:p>
        </w:tc>
      </w:tr>
      <w:tr>
        <w:tblPrEx>
          <w:tblCellMar>
            <w:top w:w="0" w:type="dxa"/>
            <w:left w:w="108" w:type="dxa"/>
            <w:bottom w:w="0" w:type="dxa"/>
            <w:right w:w="108" w:type="dxa"/>
          </w:tblCellMar>
        </w:tblPrEx>
        <w:trPr>
          <w:trHeight w:val="397" w:hRule="atLeast"/>
          <w:jc w:val="center"/>
        </w:trPr>
        <w:tc>
          <w:tcPr>
            <w:tcW w:w="1868"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客运量</w:t>
            </w:r>
          </w:p>
        </w:tc>
        <w:tc>
          <w:tcPr>
            <w:tcW w:w="4090"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=506286ln(x) - 3849087</w:t>
            </w:r>
          </w:p>
        </w:tc>
        <w:tc>
          <w:tcPr>
            <w:tcW w:w="2943"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0.7424</w:t>
            </w:r>
          </w:p>
        </w:tc>
      </w:tr>
      <w:tr>
        <w:tblPrEx>
          <w:tblCellMar>
            <w:top w:w="0" w:type="dxa"/>
            <w:left w:w="108" w:type="dxa"/>
            <w:bottom w:w="0" w:type="dxa"/>
            <w:right w:w="108" w:type="dxa"/>
          </w:tblCellMar>
        </w:tblPrEx>
        <w:trPr>
          <w:trHeight w:val="397" w:hRule="atLeast"/>
          <w:jc w:val="center"/>
        </w:trPr>
        <w:tc>
          <w:tcPr>
            <w:tcW w:w="1868"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货运量</w:t>
            </w:r>
          </w:p>
        </w:tc>
        <w:tc>
          <w:tcPr>
            <w:tcW w:w="4090"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y = 20566ln(x)-155817</w:t>
            </w:r>
          </w:p>
        </w:tc>
        <w:tc>
          <w:tcPr>
            <w:tcW w:w="2943"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0.0666</w:t>
            </w:r>
          </w:p>
        </w:tc>
      </w:tr>
    </w:tbl>
    <w:p>
      <w:pPr>
        <w:keepNext w:val="0"/>
        <w:keepLines w:val="0"/>
        <w:pageBreakBefore w:val="0"/>
        <w:widowControl w:val="0"/>
        <w:kinsoku/>
        <w:wordWrap/>
        <w:overflowPunct/>
        <w:topLinePunct w:val="0"/>
        <w:autoSpaceDE/>
        <w:autoSpaceDN/>
        <w:bidi w:val="0"/>
        <w:adjustRightInd/>
        <w:snapToGrid w:val="0"/>
        <w:spacing w:beforeLines="50" w:line="560" w:lineRule="exact"/>
        <w:ind w:firstLine="560"/>
        <w:textAlignment w:val="auto"/>
        <w:rPr>
          <w:rFonts w:hint="default" w:ascii="Times New Roman" w:hAnsi="Times New Roman" w:cs="Times New Roman"/>
          <w:sz w:val="32"/>
          <w:szCs w:val="32"/>
        </w:rPr>
      </w:pPr>
      <w:bookmarkStart w:id="22" w:name="_Hlk38209857"/>
      <w:r>
        <w:rPr>
          <w:rFonts w:hint="default" w:ascii="Times New Roman" w:hAnsi="Times New Roman" w:cs="Times New Roman"/>
          <w:sz w:val="32"/>
          <w:szCs w:val="32"/>
        </w:rPr>
        <w:t>根据对数模型计算得到“十四五”时期平阳县客货运量如下表。</w:t>
      </w:r>
    </w:p>
    <w:bookmarkEnd w:id="22"/>
    <w:p>
      <w:pPr>
        <w:pStyle w:val="21"/>
        <w:keepNext w:val="0"/>
        <w:keepLines w:val="0"/>
        <w:pageBreakBefore w:val="0"/>
        <w:widowControl w:val="0"/>
        <w:numPr>
          <w:ilvl w:val="0"/>
          <w:numId w:val="0"/>
        </w:numPr>
        <w:kinsoku/>
        <w:wordWrap/>
        <w:overflowPunct/>
        <w:topLinePunct w:val="0"/>
        <w:autoSpaceDE/>
        <w:autoSpaceDN/>
        <w:bidi w:val="0"/>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表2-5</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对数模型预测结果</w:t>
      </w:r>
    </w:p>
    <w:tbl>
      <w:tblPr>
        <w:tblStyle w:val="16"/>
        <w:tblW w:w="8901" w:type="dxa"/>
        <w:jc w:val="center"/>
        <w:tblLayout w:type="fixed"/>
        <w:tblCellMar>
          <w:top w:w="0" w:type="dxa"/>
          <w:left w:w="108" w:type="dxa"/>
          <w:bottom w:w="0" w:type="dxa"/>
          <w:right w:w="108" w:type="dxa"/>
        </w:tblCellMar>
      </w:tblPr>
      <w:tblGrid>
        <w:gridCol w:w="1931"/>
        <w:gridCol w:w="3485"/>
        <w:gridCol w:w="3485"/>
      </w:tblGrid>
      <w:tr>
        <w:tblPrEx>
          <w:tblCellMar>
            <w:top w:w="0" w:type="dxa"/>
            <w:left w:w="108" w:type="dxa"/>
            <w:bottom w:w="0" w:type="dxa"/>
            <w:right w:w="108" w:type="dxa"/>
          </w:tblCellMar>
        </w:tblPrEx>
        <w:trPr>
          <w:trHeight w:val="397" w:hRule="atLeast"/>
          <w:jc w:val="center"/>
        </w:trPr>
        <w:tc>
          <w:tcPr>
            <w:tcW w:w="1931" w:type="dxa"/>
            <w:tcBorders>
              <w:top w:val="single" w:color="auto" w:sz="4" w:space="0"/>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年份</w:t>
            </w:r>
          </w:p>
        </w:tc>
        <w:tc>
          <w:tcPr>
            <w:tcW w:w="3485" w:type="dxa"/>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客运量（万人）</w:t>
            </w:r>
          </w:p>
        </w:tc>
        <w:tc>
          <w:tcPr>
            <w:tcW w:w="3485" w:type="dxa"/>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货运量（万吨）</w:t>
            </w:r>
          </w:p>
        </w:tc>
      </w:tr>
      <w:tr>
        <w:tblPrEx>
          <w:tblCellMar>
            <w:top w:w="0" w:type="dxa"/>
            <w:left w:w="108" w:type="dxa"/>
            <w:bottom w:w="0" w:type="dxa"/>
            <w:right w:w="108" w:type="dxa"/>
          </w:tblCellMar>
        </w:tblPrEx>
        <w:trPr>
          <w:trHeight w:val="397" w:hRule="atLeast"/>
          <w:jc w:val="center"/>
        </w:trPr>
        <w:tc>
          <w:tcPr>
            <w:tcW w:w="1931" w:type="dxa"/>
            <w:tcBorders>
              <w:top w:val="single" w:color="auto" w:sz="4" w:space="0"/>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2018年</w:t>
            </w:r>
          </w:p>
        </w:tc>
        <w:tc>
          <w:tcPr>
            <w:tcW w:w="3485" w:type="dxa"/>
            <w:tcBorders>
              <w:top w:val="single" w:color="auto" w:sz="4" w:space="0"/>
              <w:left w:val="nil"/>
              <w:bottom w:val="single" w:color="auto" w:sz="4" w:space="0"/>
              <w:right w:val="single" w:color="auto" w:sz="4" w:space="0"/>
            </w:tcBorders>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 xml:space="preserve">4000.36 </w:t>
            </w:r>
          </w:p>
        </w:tc>
        <w:tc>
          <w:tcPr>
            <w:tcW w:w="3485" w:type="dxa"/>
            <w:tcBorders>
              <w:top w:val="single" w:color="auto" w:sz="4" w:space="0"/>
              <w:left w:val="nil"/>
              <w:bottom w:val="single" w:color="auto" w:sz="4" w:space="0"/>
              <w:right w:val="single" w:color="auto" w:sz="4" w:space="0"/>
            </w:tcBorders>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 xml:space="preserve">676.56 </w:t>
            </w:r>
          </w:p>
        </w:tc>
      </w:tr>
      <w:tr>
        <w:tblPrEx>
          <w:tblCellMar>
            <w:top w:w="0" w:type="dxa"/>
            <w:left w:w="108" w:type="dxa"/>
            <w:bottom w:w="0" w:type="dxa"/>
            <w:right w:w="108" w:type="dxa"/>
          </w:tblCellMar>
        </w:tblPrEx>
        <w:trPr>
          <w:trHeight w:val="397" w:hRule="atLeast"/>
          <w:jc w:val="center"/>
        </w:trPr>
        <w:tc>
          <w:tcPr>
            <w:tcW w:w="1931"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2021年</w:t>
            </w:r>
          </w:p>
        </w:tc>
        <w:tc>
          <w:tcPr>
            <w:tcW w:w="34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4435.08</w:t>
            </w:r>
          </w:p>
        </w:tc>
        <w:tc>
          <w:tcPr>
            <w:tcW w:w="34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717.98</w:t>
            </w:r>
          </w:p>
        </w:tc>
      </w:tr>
      <w:tr>
        <w:tblPrEx>
          <w:tblCellMar>
            <w:top w:w="0" w:type="dxa"/>
            <w:left w:w="108" w:type="dxa"/>
            <w:bottom w:w="0" w:type="dxa"/>
            <w:right w:w="108" w:type="dxa"/>
          </w:tblCellMar>
        </w:tblPrEx>
        <w:trPr>
          <w:trHeight w:val="397" w:hRule="atLeast"/>
          <w:jc w:val="center"/>
        </w:trPr>
        <w:tc>
          <w:tcPr>
            <w:tcW w:w="1931"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2025年</w:t>
            </w:r>
          </w:p>
        </w:tc>
        <w:tc>
          <w:tcPr>
            <w:tcW w:w="34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5436.14</w:t>
            </w:r>
          </w:p>
        </w:tc>
        <w:tc>
          <w:tcPr>
            <w:tcW w:w="34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758.64</w:t>
            </w:r>
          </w:p>
        </w:tc>
      </w:tr>
    </w:tbl>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cs="Times New Roman"/>
          <w:b w:val="0"/>
          <w:bCs w:val="0"/>
          <w:sz w:val="32"/>
          <w:szCs w:val="32"/>
          <w:lang w:val="en-US" w:eastAsia="zh-CN"/>
        </w:rPr>
        <w:t>（3）</w:t>
      </w:r>
      <w:r>
        <w:rPr>
          <w:rFonts w:hint="default" w:ascii="Times New Roman" w:hAnsi="Times New Roman" w:eastAsia="仿宋_GB2312" w:cs="Times New Roman"/>
          <w:b w:val="0"/>
          <w:bCs w:val="0"/>
          <w:sz w:val="32"/>
          <w:szCs w:val="32"/>
          <w:lang w:val="en-US" w:eastAsia="zh-CN"/>
        </w:rPr>
        <w:t>弹性系数模型</w:t>
      </w:r>
    </w:p>
    <w:p>
      <w:pPr>
        <w:pStyle w:val="21"/>
        <w:keepNext w:val="0"/>
        <w:keepLines w:val="0"/>
        <w:pageBreakBefore w:val="0"/>
        <w:widowControl w:val="0"/>
        <w:numPr>
          <w:ilvl w:val="0"/>
          <w:numId w:val="0"/>
        </w:numPr>
        <w:kinsoku/>
        <w:wordWrap/>
        <w:overflowPunct/>
        <w:topLinePunct w:val="0"/>
        <w:autoSpaceDE/>
        <w:autoSpaceDN/>
        <w:bidi w:val="0"/>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表2-6</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平阳县2015-2019年GDP发展情况</w:t>
      </w:r>
    </w:p>
    <w:tbl>
      <w:tblPr>
        <w:tblStyle w:val="16"/>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5"/>
        <w:gridCol w:w="1181"/>
        <w:gridCol w:w="1181"/>
        <w:gridCol w:w="1181"/>
        <w:gridCol w:w="1181"/>
        <w:gridCol w:w="1181"/>
        <w:gridCol w:w="1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5"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年份</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2015</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2016</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2017</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2018</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2019</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5"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GDP(亿元)</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342.49</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372.91</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410.46</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460.17</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510.29</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534.15</w:t>
            </w:r>
          </w:p>
        </w:tc>
      </w:tr>
    </w:tbl>
    <w:p>
      <w:pPr>
        <w:keepNext w:val="0"/>
        <w:keepLines w:val="0"/>
        <w:pageBreakBefore w:val="0"/>
        <w:widowControl w:val="0"/>
        <w:kinsoku/>
        <w:wordWrap/>
        <w:overflowPunct/>
        <w:topLinePunct w:val="0"/>
        <w:autoSpaceDE/>
        <w:autoSpaceDN/>
        <w:bidi w:val="0"/>
        <w:adjustRightInd/>
        <w:snapToGrid w:val="0"/>
        <w:spacing w:before="157" w:beforeLines="50" w:line="560" w:lineRule="exact"/>
        <w:ind w:firstLine="560"/>
        <w:textAlignment w:val="auto"/>
        <w:rPr>
          <w:rFonts w:hint="default" w:ascii="Times New Roman" w:hAnsi="Times New Roman" w:cs="Times New Roman"/>
          <w:szCs w:val="28"/>
        </w:rPr>
      </w:pPr>
      <w:r>
        <w:rPr>
          <w:rFonts w:hint="default" w:ascii="Times New Roman" w:hAnsi="Times New Roman" w:cs="Times New Roman"/>
          <w:sz w:val="32"/>
          <w:szCs w:val="32"/>
        </w:rPr>
        <w:t>根据平阳县历年GDP的增长率，结合区域弹性系数指标，计算得到</w:t>
      </w:r>
      <w:r>
        <w:rPr>
          <w:rFonts w:hint="default" w:ascii="Times New Roman" w:hAnsi="Times New Roman" w:cs="Times New Roman"/>
          <w:szCs w:val="28"/>
        </w:rPr>
        <w:t>未来运输指标变化百分率如下表。</w:t>
      </w:r>
    </w:p>
    <w:p>
      <w:pPr>
        <w:pStyle w:val="21"/>
        <w:keepNext w:val="0"/>
        <w:keepLines w:val="0"/>
        <w:pageBreakBefore w:val="0"/>
        <w:widowControl w:val="0"/>
        <w:numPr>
          <w:ilvl w:val="0"/>
          <w:numId w:val="0"/>
        </w:numPr>
        <w:kinsoku/>
        <w:wordWrap/>
        <w:overflowPunct/>
        <w:topLinePunct w:val="0"/>
        <w:autoSpaceDE/>
        <w:autoSpaceDN/>
        <w:bidi w:val="0"/>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表2-7</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弹性系数模型预测指标</w:t>
      </w:r>
    </w:p>
    <w:tbl>
      <w:tblPr>
        <w:tblStyle w:val="16"/>
        <w:tblW w:w="8901" w:type="dxa"/>
        <w:jc w:val="center"/>
        <w:tblLayout w:type="fixed"/>
        <w:tblCellMar>
          <w:top w:w="0" w:type="dxa"/>
          <w:left w:w="108" w:type="dxa"/>
          <w:bottom w:w="0" w:type="dxa"/>
          <w:right w:w="108" w:type="dxa"/>
        </w:tblCellMar>
      </w:tblPr>
      <w:tblGrid>
        <w:gridCol w:w="3731"/>
        <w:gridCol w:w="2585"/>
        <w:gridCol w:w="2585"/>
      </w:tblGrid>
      <w:tr>
        <w:tblPrEx>
          <w:tblCellMar>
            <w:top w:w="0" w:type="dxa"/>
            <w:left w:w="108" w:type="dxa"/>
            <w:bottom w:w="0" w:type="dxa"/>
            <w:right w:w="108" w:type="dxa"/>
          </w:tblCellMar>
        </w:tblPrEx>
        <w:trPr>
          <w:trHeight w:val="397" w:hRule="atLeast"/>
          <w:jc w:val="center"/>
        </w:trPr>
        <w:tc>
          <w:tcPr>
            <w:tcW w:w="3731" w:type="dxa"/>
            <w:tcBorders>
              <w:top w:val="single" w:color="auto" w:sz="4" w:space="0"/>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指标名称</w:t>
            </w:r>
          </w:p>
        </w:tc>
        <w:tc>
          <w:tcPr>
            <w:tcW w:w="5170" w:type="dxa"/>
            <w:gridSpan w:val="2"/>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指标值</w:t>
            </w:r>
          </w:p>
        </w:tc>
      </w:tr>
      <w:tr>
        <w:tblPrEx>
          <w:tblCellMar>
            <w:top w:w="0" w:type="dxa"/>
            <w:left w:w="108" w:type="dxa"/>
            <w:bottom w:w="0" w:type="dxa"/>
            <w:right w:w="108" w:type="dxa"/>
          </w:tblCellMar>
        </w:tblPrEx>
        <w:trPr>
          <w:trHeight w:val="397" w:hRule="atLeast"/>
          <w:jc w:val="center"/>
        </w:trPr>
        <w:tc>
          <w:tcPr>
            <w:tcW w:w="3731"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年份</w:t>
            </w:r>
          </w:p>
        </w:tc>
        <w:tc>
          <w:tcPr>
            <w:tcW w:w="2585" w:type="dxa"/>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2019-2020</w:t>
            </w:r>
          </w:p>
        </w:tc>
        <w:tc>
          <w:tcPr>
            <w:tcW w:w="2585" w:type="dxa"/>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2021-2025</w:t>
            </w:r>
          </w:p>
        </w:tc>
      </w:tr>
      <w:tr>
        <w:tblPrEx>
          <w:tblCellMar>
            <w:top w:w="0" w:type="dxa"/>
            <w:left w:w="108" w:type="dxa"/>
            <w:bottom w:w="0" w:type="dxa"/>
            <w:right w:w="108" w:type="dxa"/>
          </w:tblCellMar>
        </w:tblPrEx>
        <w:trPr>
          <w:trHeight w:val="397" w:hRule="atLeast"/>
          <w:jc w:val="center"/>
        </w:trPr>
        <w:tc>
          <w:tcPr>
            <w:tcW w:w="3731"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经济指标变化百分率</w:t>
            </w:r>
          </w:p>
        </w:tc>
        <w:tc>
          <w:tcPr>
            <w:tcW w:w="5170" w:type="dxa"/>
            <w:gridSpan w:val="2"/>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10.5%</w:t>
            </w:r>
          </w:p>
        </w:tc>
      </w:tr>
      <w:tr>
        <w:tblPrEx>
          <w:tblCellMar>
            <w:top w:w="0" w:type="dxa"/>
            <w:left w:w="108" w:type="dxa"/>
            <w:bottom w:w="0" w:type="dxa"/>
            <w:right w:w="108" w:type="dxa"/>
          </w:tblCellMar>
        </w:tblPrEx>
        <w:trPr>
          <w:trHeight w:val="397" w:hRule="atLeast"/>
          <w:jc w:val="center"/>
        </w:trPr>
        <w:tc>
          <w:tcPr>
            <w:tcW w:w="3731"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弹性系数</w:t>
            </w:r>
          </w:p>
        </w:tc>
        <w:tc>
          <w:tcPr>
            <w:tcW w:w="25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0.68</w:t>
            </w:r>
          </w:p>
        </w:tc>
        <w:tc>
          <w:tcPr>
            <w:tcW w:w="25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0.58</w:t>
            </w:r>
          </w:p>
        </w:tc>
      </w:tr>
      <w:tr>
        <w:tblPrEx>
          <w:tblCellMar>
            <w:top w:w="0" w:type="dxa"/>
            <w:left w:w="108" w:type="dxa"/>
            <w:bottom w:w="0" w:type="dxa"/>
            <w:right w:w="108" w:type="dxa"/>
          </w:tblCellMar>
        </w:tblPrEx>
        <w:trPr>
          <w:trHeight w:val="397" w:hRule="atLeast"/>
          <w:jc w:val="center"/>
        </w:trPr>
        <w:tc>
          <w:tcPr>
            <w:tcW w:w="3731"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运输指标变化百分率</w:t>
            </w:r>
          </w:p>
        </w:tc>
        <w:tc>
          <w:tcPr>
            <w:tcW w:w="25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7.14%</w:t>
            </w:r>
          </w:p>
        </w:tc>
        <w:tc>
          <w:tcPr>
            <w:tcW w:w="25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6.9%</w:t>
            </w:r>
          </w:p>
        </w:tc>
      </w:tr>
    </w:tbl>
    <w:p>
      <w:pPr>
        <w:keepNext w:val="0"/>
        <w:keepLines w:val="0"/>
        <w:pageBreakBefore w:val="0"/>
        <w:widowControl w:val="0"/>
        <w:kinsoku/>
        <w:wordWrap/>
        <w:overflowPunct/>
        <w:topLinePunct w:val="0"/>
        <w:autoSpaceDE/>
        <w:autoSpaceDN/>
        <w:bidi w:val="0"/>
        <w:adjustRightInd/>
        <w:snapToGrid w:val="0"/>
        <w:spacing w:before="79" w:beforeLines="25" w:line="560" w:lineRule="exact"/>
        <w:ind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根据弹性系数模型计算得到“十四五”时期平阳县客货运量如下表。</w:t>
      </w:r>
    </w:p>
    <w:p>
      <w:pPr>
        <w:pStyle w:val="21"/>
        <w:keepNext w:val="0"/>
        <w:keepLines w:val="0"/>
        <w:pageBreakBefore w:val="0"/>
        <w:widowControl w:val="0"/>
        <w:numPr>
          <w:ilvl w:val="0"/>
          <w:numId w:val="0"/>
        </w:numPr>
        <w:kinsoku/>
        <w:wordWrap/>
        <w:overflowPunct/>
        <w:topLinePunct w:val="0"/>
        <w:autoSpaceDE/>
        <w:autoSpaceDN/>
        <w:bidi w:val="0"/>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表2-8</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弹性系数模型预测结果</w:t>
      </w:r>
    </w:p>
    <w:tbl>
      <w:tblPr>
        <w:tblStyle w:val="16"/>
        <w:tblW w:w="8901" w:type="dxa"/>
        <w:jc w:val="center"/>
        <w:tblLayout w:type="fixed"/>
        <w:tblCellMar>
          <w:top w:w="0" w:type="dxa"/>
          <w:left w:w="108" w:type="dxa"/>
          <w:bottom w:w="0" w:type="dxa"/>
          <w:right w:w="108" w:type="dxa"/>
        </w:tblCellMar>
      </w:tblPr>
      <w:tblGrid>
        <w:gridCol w:w="1931"/>
        <w:gridCol w:w="3485"/>
        <w:gridCol w:w="3485"/>
      </w:tblGrid>
      <w:tr>
        <w:tblPrEx>
          <w:tblCellMar>
            <w:top w:w="0" w:type="dxa"/>
            <w:left w:w="108" w:type="dxa"/>
            <w:bottom w:w="0" w:type="dxa"/>
            <w:right w:w="108" w:type="dxa"/>
          </w:tblCellMar>
        </w:tblPrEx>
        <w:trPr>
          <w:trHeight w:val="397" w:hRule="atLeast"/>
          <w:jc w:val="center"/>
        </w:trPr>
        <w:tc>
          <w:tcPr>
            <w:tcW w:w="1931" w:type="dxa"/>
            <w:tcBorders>
              <w:top w:val="single" w:color="auto" w:sz="4" w:space="0"/>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年份</w:t>
            </w:r>
          </w:p>
        </w:tc>
        <w:tc>
          <w:tcPr>
            <w:tcW w:w="3485" w:type="dxa"/>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客运量（万人）</w:t>
            </w:r>
          </w:p>
        </w:tc>
        <w:tc>
          <w:tcPr>
            <w:tcW w:w="3485" w:type="dxa"/>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货运量（万吨）</w:t>
            </w:r>
          </w:p>
        </w:tc>
      </w:tr>
      <w:tr>
        <w:tblPrEx>
          <w:tblCellMar>
            <w:top w:w="0" w:type="dxa"/>
            <w:left w:w="108" w:type="dxa"/>
            <w:bottom w:w="0" w:type="dxa"/>
            <w:right w:w="108" w:type="dxa"/>
          </w:tblCellMar>
        </w:tblPrEx>
        <w:trPr>
          <w:trHeight w:val="397" w:hRule="atLeast"/>
          <w:jc w:val="center"/>
        </w:trPr>
        <w:tc>
          <w:tcPr>
            <w:tcW w:w="1931" w:type="dxa"/>
            <w:tcBorders>
              <w:top w:val="single" w:color="auto" w:sz="4" w:space="0"/>
              <w:left w:val="single" w:color="auto" w:sz="4" w:space="0"/>
              <w:bottom w:val="single" w:color="auto" w:sz="4" w:space="0"/>
              <w:right w:val="single" w:color="auto" w:sz="4" w:space="0"/>
            </w:tcBorders>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2018年</w:t>
            </w:r>
          </w:p>
        </w:tc>
        <w:tc>
          <w:tcPr>
            <w:tcW w:w="3485" w:type="dxa"/>
            <w:tcBorders>
              <w:top w:val="single" w:color="auto" w:sz="4" w:space="0"/>
              <w:left w:val="nil"/>
              <w:bottom w:val="single" w:color="auto" w:sz="4" w:space="0"/>
              <w:right w:val="single" w:color="auto" w:sz="4" w:space="0"/>
            </w:tcBorders>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 xml:space="preserve">4000.36 </w:t>
            </w:r>
          </w:p>
        </w:tc>
        <w:tc>
          <w:tcPr>
            <w:tcW w:w="3485" w:type="dxa"/>
            <w:tcBorders>
              <w:top w:val="single" w:color="auto" w:sz="4" w:space="0"/>
              <w:left w:val="nil"/>
              <w:bottom w:val="single" w:color="auto" w:sz="4" w:space="0"/>
              <w:right w:val="single" w:color="auto" w:sz="4" w:space="0"/>
            </w:tcBorders>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 xml:space="preserve">676.56 </w:t>
            </w:r>
          </w:p>
        </w:tc>
      </w:tr>
      <w:tr>
        <w:tblPrEx>
          <w:tblCellMar>
            <w:top w:w="0" w:type="dxa"/>
            <w:left w:w="108" w:type="dxa"/>
            <w:bottom w:w="0" w:type="dxa"/>
            <w:right w:w="108" w:type="dxa"/>
          </w:tblCellMar>
        </w:tblPrEx>
        <w:trPr>
          <w:trHeight w:val="397" w:hRule="atLeast"/>
          <w:jc w:val="center"/>
        </w:trPr>
        <w:tc>
          <w:tcPr>
            <w:tcW w:w="1931"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2021年</w:t>
            </w:r>
          </w:p>
        </w:tc>
        <w:tc>
          <w:tcPr>
            <w:tcW w:w="34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4591.59</w:t>
            </w:r>
          </w:p>
        </w:tc>
        <w:tc>
          <w:tcPr>
            <w:tcW w:w="34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776.62</w:t>
            </w:r>
          </w:p>
        </w:tc>
      </w:tr>
      <w:tr>
        <w:tblPrEx>
          <w:tblCellMar>
            <w:top w:w="0" w:type="dxa"/>
            <w:left w:w="108" w:type="dxa"/>
            <w:bottom w:w="0" w:type="dxa"/>
            <w:right w:w="108" w:type="dxa"/>
          </w:tblCellMar>
        </w:tblPrEx>
        <w:trPr>
          <w:trHeight w:val="397" w:hRule="atLeast"/>
          <w:jc w:val="center"/>
        </w:trPr>
        <w:tc>
          <w:tcPr>
            <w:tcW w:w="1931"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2025年</w:t>
            </w:r>
          </w:p>
        </w:tc>
        <w:tc>
          <w:tcPr>
            <w:tcW w:w="34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5996.16</w:t>
            </w:r>
          </w:p>
        </w:tc>
        <w:tc>
          <w:tcPr>
            <w:tcW w:w="34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1014.19</w:t>
            </w:r>
          </w:p>
        </w:tc>
      </w:tr>
    </w:tbl>
    <w:p>
      <w:pPr>
        <w:keepNext w:val="0"/>
        <w:keepLines w:val="0"/>
        <w:pageBreakBefore w:val="0"/>
        <w:widowControl w:val="0"/>
        <w:kinsoku/>
        <w:wordWrap/>
        <w:overflowPunct/>
        <w:topLinePunct w:val="0"/>
        <w:autoSpaceDE/>
        <w:autoSpaceDN/>
        <w:bidi w:val="0"/>
        <w:adjustRightInd/>
        <w:snapToGrid w:val="0"/>
        <w:spacing w:before="157" w:beforeLines="50" w:line="560" w:lineRule="exact"/>
        <w:ind w:left="0" w:firstLine="560"/>
        <w:textAlignment w:val="auto"/>
        <w:rPr>
          <w:rFonts w:hint="default" w:ascii="Times New Roman" w:hAnsi="Times New Roman" w:cs="Times New Roman"/>
          <w:b w:val="0"/>
          <w:bCs w:val="0"/>
          <w:sz w:val="32"/>
          <w:szCs w:val="32"/>
          <w:lang w:val="en-US" w:eastAsia="zh-CN"/>
        </w:rPr>
      </w:pPr>
      <w:r>
        <w:rPr>
          <w:rFonts w:hint="default" w:ascii="Times New Roman" w:hAnsi="Times New Roman" w:cs="Times New Roman"/>
          <w:b w:val="0"/>
          <w:bCs w:val="0"/>
          <w:sz w:val="32"/>
          <w:szCs w:val="32"/>
          <w:lang w:val="en-US" w:eastAsia="zh-CN"/>
        </w:rPr>
        <w:t>（4）预测结果</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val="0"/>
          <w:bCs w:val="0"/>
          <w:sz w:val="32"/>
          <w:szCs w:val="32"/>
          <w:lang w:val="en-US" w:eastAsia="zh-CN"/>
        </w:rPr>
      </w:pPr>
      <w:r>
        <w:rPr>
          <w:rFonts w:hint="default" w:ascii="Times New Roman" w:hAnsi="Times New Roman" w:cs="Times New Roman"/>
          <w:b w:val="0"/>
          <w:bCs w:val="0"/>
          <w:sz w:val="32"/>
          <w:szCs w:val="32"/>
          <w:lang w:val="en-US" w:eastAsia="zh-CN"/>
        </w:rPr>
        <w:t>根据回归模型、对数模型和弹性系数模型，预计至2025年平阳县全社会客、货运量分别达到5626万人、843万吨。</w:t>
      </w:r>
    </w:p>
    <w:p>
      <w:pPr>
        <w:pStyle w:val="21"/>
        <w:keepNext w:val="0"/>
        <w:keepLines w:val="0"/>
        <w:pageBreakBefore w:val="0"/>
        <w:widowControl w:val="0"/>
        <w:numPr>
          <w:ilvl w:val="0"/>
          <w:numId w:val="0"/>
        </w:numPr>
        <w:kinsoku/>
        <w:wordWrap/>
        <w:overflowPunct/>
        <w:topLinePunct w:val="0"/>
        <w:autoSpaceDE/>
        <w:autoSpaceDN/>
        <w:bidi w:val="0"/>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表2-9</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“十四五”期末平阳县全社会客货运量预测结果</w:t>
      </w:r>
    </w:p>
    <w:tbl>
      <w:tblPr>
        <w:tblStyle w:val="16"/>
        <w:tblW w:w="8901" w:type="dxa"/>
        <w:jc w:val="center"/>
        <w:tblLayout w:type="fixed"/>
        <w:tblCellMar>
          <w:top w:w="0" w:type="dxa"/>
          <w:left w:w="108" w:type="dxa"/>
          <w:bottom w:w="0" w:type="dxa"/>
          <w:right w:w="108" w:type="dxa"/>
        </w:tblCellMar>
      </w:tblPr>
      <w:tblGrid>
        <w:gridCol w:w="2722"/>
        <w:gridCol w:w="3089"/>
        <w:gridCol w:w="3090"/>
      </w:tblGrid>
      <w:tr>
        <w:tblPrEx>
          <w:tblCellMar>
            <w:top w:w="0" w:type="dxa"/>
            <w:left w:w="108" w:type="dxa"/>
            <w:bottom w:w="0" w:type="dxa"/>
            <w:right w:w="108" w:type="dxa"/>
          </w:tblCellMar>
        </w:tblPrEx>
        <w:trPr>
          <w:trHeight w:val="397" w:hRule="atLeast"/>
          <w:jc w:val="center"/>
        </w:trPr>
        <w:tc>
          <w:tcPr>
            <w:tcW w:w="2722" w:type="dxa"/>
            <w:tcBorders>
              <w:top w:val="single" w:color="auto" w:sz="4" w:space="0"/>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预测方法</w:t>
            </w:r>
          </w:p>
        </w:tc>
        <w:tc>
          <w:tcPr>
            <w:tcW w:w="3089" w:type="dxa"/>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客运量（万人）</w:t>
            </w:r>
          </w:p>
        </w:tc>
        <w:tc>
          <w:tcPr>
            <w:tcW w:w="3090" w:type="dxa"/>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货运量（万吨）</w:t>
            </w:r>
          </w:p>
        </w:tc>
      </w:tr>
      <w:tr>
        <w:tblPrEx>
          <w:tblCellMar>
            <w:top w:w="0" w:type="dxa"/>
            <w:left w:w="108" w:type="dxa"/>
            <w:bottom w:w="0" w:type="dxa"/>
            <w:right w:w="108" w:type="dxa"/>
          </w:tblCellMar>
        </w:tblPrEx>
        <w:trPr>
          <w:trHeight w:val="397" w:hRule="atLeast"/>
          <w:jc w:val="center"/>
        </w:trPr>
        <w:tc>
          <w:tcPr>
            <w:tcW w:w="2722"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回归模型</w:t>
            </w:r>
          </w:p>
        </w:tc>
        <w:tc>
          <w:tcPr>
            <w:tcW w:w="3089"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5448.25</w:t>
            </w:r>
          </w:p>
        </w:tc>
        <w:tc>
          <w:tcPr>
            <w:tcW w:w="3090"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756.97</w:t>
            </w:r>
          </w:p>
        </w:tc>
      </w:tr>
      <w:tr>
        <w:tblPrEx>
          <w:tblCellMar>
            <w:top w:w="0" w:type="dxa"/>
            <w:left w:w="108" w:type="dxa"/>
            <w:bottom w:w="0" w:type="dxa"/>
            <w:right w:w="108" w:type="dxa"/>
          </w:tblCellMar>
        </w:tblPrEx>
        <w:trPr>
          <w:trHeight w:val="397" w:hRule="atLeast"/>
          <w:jc w:val="center"/>
        </w:trPr>
        <w:tc>
          <w:tcPr>
            <w:tcW w:w="2722"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对数模型</w:t>
            </w:r>
          </w:p>
        </w:tc>
        <w:tc>
          <w:tcPr>
            <w:tcW w:w="3089"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5436.14</w:t>
            </w:r>
          </w:p>
        </w:tc>
        <w:tc>
          <w:tcPr>
            <w:tcW w:w="3090"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758.64</w:t>
            </w:r>
          </w:p>
        </w:tc>
      </w:tr>
      <w:tr>
        <w:tblPrEx>
          <w:tblCellMar>
            <w:top w:w="0" w:type="dxa"/>
            <w:left w:w="108" w:type="dxa"/>
            <w:bottom w:w="0" w:type="dxa"/>
            <w:right w:w="108" w:type="dxa"/>
          </w:tblCellMar>
        </w:tblPrEx>
        <w:trPr>
          <w:trHeight w:val="397" w:hRule="atLeast"/>
          <w:jc w:val="center"/>
        </w:trPr>
        <w:tc>
          <w:tcPr>
            <w:tcW w:w="2722"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弹性系数模型</w:t>
            </w:r>
          </w:p>
        </w:tc>
        <w:tc>
          <w:tcPr>
            <w:tcW w:w="3089"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5996.16</w:t>
            </w:r>
          </w:p>
        </w:tc>
        <w:tc>
          <w:tcPr>
            <w:tcW w:w="3090"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1014.19</w:t>
            </w:r>
          </w:p>
        </w:tc>
      </w:tr>
      <w:tr>
        <w:tblPrEx>
          <w:tblCellMar>
            <w:top w:w="0" w:type="dxa"/>
            <w:left w:w="108" w:type="dxa"/>
            <w:bottom w:w="0" w:type="dxa"/>
            <w:right w:w="108" w:type="dxa"/>
          </w:tblCellMar>
        </w:tblPrEx>
        <w:trPr>
          <w:trHeight w:val="397" w:hRule="atLeast"/>
          <w:jc w:val="center"/>
        </w:trPr>
        <w:tc>
          <w:tcPr>
            <w:tcW w:w="2722"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推荐取值</w:t>
            </w:r>
          </w:p>
        </w:tc>
        <w:tc>
          <w:tcPr>
            <w:tcW w:w="3089"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5626.85</w:t>
            </w:r>
          </w:p>
        </w:tc>
        <w:tc>
          <w:tcPr>
            <w:tcW w:w="3090"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843.26</w:t>
            </w:r>
          </w:p>
        </w:tc>
      </w:tr>
    </w:tbl>
    <w:p>
      <w:pPr>
        <w:keepNext w:val="0"/>
        <w:keepLines w:val="0"/>
        <w:pageBreakBefore w:val="0"/>
        <w:widowControl w:val="0"/>
        <w:kinsoku/>
        <w:wordWrap/>
        <w:overflowPunct/>
        <w:topLinePunct w:val="0"/>
        <w:autoSpaceDE/>
        <w:autoSpaceDN/>
        <w:bidi w:val="0"/>
        <w:adjustRightInd/>
        <w:snapToGrid w:val="0"/>
        <w:spacing w:before="157" w:beforeLines="50" w:line="560" w:lineRule="exact"/>
        <w:ind w:left="0" w:firstLine="560"/>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3</w:t>
      </w:r>
      <w:r>
        <w:rPr>
          <w:rFonts w:hint="eastAsia" w:cs="Times New Roman"/>
          <w:b/>
          <w:bCs/>
          <w:sz w:val="32"/>
          <w:szCs w:val="32"/>
          <w:lang w:val="en-US" w:eastAsia="zh-CN"/>
        </w:rPr>
        <w:t>．</w:t>
      </w:r>
      <w:r>
        <w:rPr>
          <w:rFonts w:hint="default" w:ascii="Times New Roman" w:hAnsi="Times New Roman" w:cs="Times New Roman"/>
          <w:b/>
          <w:bCs/>
          <w:sz w:val="32"/>
          <w:szCs w:val="32"/>
          <w:lang w:val="en-US" w:eastAsia="zh-CN"/>
        </w:rPr>
        <w:t>运输结构预测</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val="0"/>
          <w:bCs w:val="0"/>
          <w:sz w:val="32"/>
          <w:szCs w:val="32"/>
          <w:lang w:val="en-US" w:eastAsia="zh-CN"/>
        </w:rPr>
      </w:pPr>
      <w:r>
        <w:rPr>
          <w:rFonts w:hint="default" w:ascii="Times New Roman" w:hAnsi="Times New Roman" w:cs="Times New Roman"/>
          <w:b w:val="0"/>
          <w:bCs w:val="0"/>
          <w:sz w:val="32"/>
          <w:szCs w:val="32"/>
          <w:lang w:val="en-US" w:eastAsia="zh-CN"/>
        </w:rPr>
        <w:t>从运输结构角度分析，未来铁路客运量和货运量以及水运货运量占比将迅速增长。</w:t>
      </w:r>
    </w:p>
    <w:p>
      <w:pPr>
        <w:pStyle w:val="21"/>
        <w:keepNext w:val="0"/>
        <w:keepLines w:val="0"/>
        <w:pageBreakBefore w:val="0"/>
        <w:widowControl w:val="0"/>
        <w:numPr>
          <w:ilvl w:val="0"/>
          <w:numId w:val="0"/>
        </w:numPr>
        <w:kinsoku/>
        <w:wordWrap/>
        <w:overflowPunct/>
        <w:topLinePunct w:val="0"/>
        <w:autoSpaceDE/>
        <w:autoSpaceDN/>
        <w:bidi w:val="0"/>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表2-10</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平阳县各运输方式客运量预测（万人）</w:t>
      </w:r>
    </w:p>
    <w:tbl>
      <w:tblPr>
        <w:tblStyle w:val="16"/>
        <w:tblW w:w="89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2"/>
        <w:gridCol w:w="1387"/>
        <w:gridCol w:w="1074"/>
        <w:gridCol w:w="1454"/>
        <w:gridCol w:w="974"/>
        <w:gridCol w:w="1467"/>
        <w:gridCol w:w="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2" w:type="dxa"/>
            <w:vMerge w:val="restart"/>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年份</w:t>
            </w:r>
          </w:p>
        </w:tc>
        <w:tc>
          <w:tcPr>
            <w:tcW w:w="2461" w:type="dxa"/>
            <w:gridSpan w:val="2"/>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bookmarkStart w:id="23" w:name="RANGE!B24"/>
            <w:bookmarkEnd w:id="23"/>
            <w:r>
              <w:rPr>
                <w:rFonts w:hint="default" w:ascii="Times New Roman" w:hAnsi="Times New Roman" w:cs="Times New Roman"/>
                <w:sz w:val="24"/>
                <w:szCs w:val="22"/>
              </w:rPr>
              <w:t>铁路</w:t>
            </w:r>
          </w:p>
        </w:tc>
        <w:tc>
          <w:tcPr>
            <w:tcW w:w="2428" w:type="dxa"/>
            <w:gridSpan w:val="2"/>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公路</w:t>
            </w:r>
          </w:p>
        </w:tc>
        <w:tc>
          <w:tcPr>
            <w:tcW w:w="2330" w:type="dxa"/>
            <w:gridSpan w:val="2"/>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水运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2" w:type="dxa"/>
            <w:vMerge w:val="continue"/>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p>
        </w:tc>
        <w:tc>
          <w:tcPr>
            <w:tcW w:w="1387"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客运量</w:t>
            </w:r>
          </w:p>
        </w:tc>
        <w:tc>
          <w:tcPr>
            <w:tcW w:w="1074"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占比</w:t>
            </w:r>
          </w:p>
        </w:tc>
        <w:tc>
          <w:tcPr>
            <w:tcW w:w="1454"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客运量</w:t>
            </w:r>
          </w:p>
        </w:tc>
        <w:tc>
          <w:tcPr>
            <w:tcW w:w="974"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占比</w:t>
            </w:r>
          </w:p>
        </w:tc>
        <w:tc>
          <w:tcPr>
            <w:tcW w:w="1467"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客运量</w:t>
            </w:r>
          </w:p>
        </w:tc>
        <w:tc>
          <w:tcPr>
            <w:tcW w:w="86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2018年</w:t>
            </w:r>
          </w:p>
        </w:tc>
        <w:tc>
          <w:tcPr>
            <w:tcW w:w="1387"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936.64</w:t>
            </w:r>
          </w:p>
        </w:tc>
        <w:tc>
          <w:tcPr>
            <w:tcW w:w="1074"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23.4%</w:t>
            </w:r>
          </w:p>
        </w:tc>
        <w:tc>
          <w:tcPr>
            <w:tcW w:w="1454"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3048</w:t>
            </w:r>
          </w:p>
        </w:tc>
        <w:tc>
          <w:tcPr>
            <w:tcW w:w="974"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76.2%</w:t>
            </w:r>
          </w:p>
        </w:tc>
        <w:tc>
          <w:tcPr>
            <w:tcW w:w="1467"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15.36</w:t>
            </w:r>
          </w:p>
        </w:tc>
        <w:tc>
          <w:tcPr>
            <w:tcW w:w="86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2025年</w:t>
            </w:r>
          </w:p>
        </w:tc>
        <w:tc>
          <w:tcPr>
            <w:tcW w:w="1387"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1519</w:t>
            </w:r>
          </w:p>
        </w:tc>
        <w:tc>
          <w:tcPr>
            <w:tcW w:w="1074"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27%</w:t>
            </w:r>
          </w:p>
        </w:tc>
        <w:tc>
          <w:tcPr>
            <w:tcW w:w="1454"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3938</w:t>
            </w:r>
          </w:p>
        </w:tc>
        <w:tc>
          <w:tcPr>
            <w:tcW w:w="974"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70%</w:t>
            </w:r>
          </w:p>
        </w:tc>
        <w:tc>
          <w:tcPr>
            <w:tcW w:w="1467"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169</w:t>
            </w:r>
          </w:p>
        </w:tc>
        <w:tc>
          <w:tcPr>
            <w:tcW w:w="86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3%</w:t>
            </w:r>
          </w:p>
        </w:tc>
      </w:tr>
    </w:tbl>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cs="Times New Roman"/>
          <w:szCs w:val="24"/>
        </w:rPr>
      </w:pPr>
    </w:p>
    <w:p>
      <w:pPr>
        <w:pStyle w:val="21"/>
        <w:keepNext w:val="0"/>
        <w:keepLines w:val="0"/>
        <w:pageBreakBefore w:val="0"/>
        <w:widowControl w:val="0"/>
        <w:numPr>
          <w:ilvl w:val="0"/>
          <w:numId w:val="0"/>
        </w:numPr>
        <w:kinsoku/>
        <w:wordWrap/>
        <w:overflowPunct/>
        <w:topLinePunct w:val="0"/>
        <w:autoSpaceDE/>
        <w:autoSpaceDN/>
        <w:bidi w:val="0"/>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表2-11</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平阳县各运输方式货运量预测（万吨）</w:t>
      </w:r>
    </w:p>
    <w:tbl>
      <w:tblPr>
        <w:tblStyle w:val="16"/>
        <w:tblW w:w="8901" w:type="dxa"/>
        <w:tblInd w:w="0" w:type="dxa"/>
        <w:tblLayout w:type="fixed"/>
        <w:tblCellMar>
          <w:top w:w="0" w:type="dxa"/>
          <w:left w:w="108" w:type="dxa"/>
          <w:bottom w:w="0" w:type="dxa"/>
          <w:right w:w="108" w:type="dxa"/>
        </w:tblCellMar>
      </w:tblPr>
      <w:tblGrid>
        <w:gridCol w:w="1682"/>
        <w:gridCol w:w="1387"/>
        <w:gridCol w:w="1074"/>
        <w:gridCol w:w="8"/>
        <w:gridCol w:w="1446"/>
        <w:gridCol w:w="974"/>
        <w:gridCol w:w="17"/>
        <w:gridCol w:w="1450"/>
        <w:gridCol w:w="863"/>
      </w:tblGrid>
      <w:tr>
        <w:tblPrEx>
          <w:tblCellMar>
            <w:top w:w="0" w:type="dxa"/>
            <w:left w:w="108" w:type="dxa"/>
            <w:bottom w:w="0" w:type="dxa"/>
            <w:right w:w="108" w:type="dxa"/>
          </w:tblCellMar>
        </w:tblPrEx>
        <w:trPr>
          <w:trHeight w:val="340" w:hRule="atLeast"/>
        </w:trPr>
        <w:tc>
          <w:tcPr>
            <w:tcW w:w="1682" w:type="dxa"/>
            <w:vMerge w:val="restart"/>
            <w:tcBorders>
              <w:top w:val="single" w:color="auto" w:sz="4" w:space="0"/>
              <w:left w:val="single" w:color="auto" w:sz="4" w:space="0"/>
              <w:bottom w:val="single" w:color="000000"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年份</w:t>
            </w:r>
          </w:p>
        </w:tc>
        <w:tc>
          <w:tcPr>
            <w:tcW w:w="2469" w:type="dxa"/>
            <w:gridSpan w:val="3"/>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铁路</w:t>
            </w:r>
          </w:p>
        </w:tc>
        <w:tc>
          <w:tcPr>
            <w:tcW w:w="2437" w:type="dxa"/>
            <w:gridSpan w:val="3"/>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公路</w:t>
            </w:r>
          </w:p>
        </w:tc>
        <w:tc>
          <w:tcPr>
            <w:tcW w:w="2313" w:type="dxa"/>
            <w:gridSpan w:val="2"/>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水运</w:t>
            </w:r>
          </w:p>
        </w:tc>
      </w:tr>
      <w:tr>
        <w:tblPrEx>
          <w:tblCellMar>
            <w:top w:w="0" w:type="dxa"/>
            <w:left w:w="108" w:type="dxa"/>
            <w:bottom w:w="0" w:type="dxa"/>
            <w:right w:w="108" w:type="dxa"/>
          </w:tblCellMar>
        </w:tblPrEx>
        <w:trPr>
          <w:trHeight w:val="340" w:hRule="atLeast"/>
        </w:trPr>
        <w:tc>
          <w:tcPr>
            <w:tcW w:w="1682" w:type="dxa"/>
            <w:vMerge w:val="continue"/>
            <w:tcBorders>
              <w:top w:val="single" w:color="auto" w:sz="4" w:space="0"/>
              <w:left w:val="single" w:color="auto" w:sz="4" w:space="0"/>
              <w:bottom w:val="single" w:color="000000"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p>
        </w:tc>
        <w:tc>
          <w:tcPr>
            <w:tcW w:w="1387"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货运量</w:t>
            </w:r>
          </w:p>
        </w:tc>
        <w:tc>
          <w:tcPr>
            <w:tcW w:w="1074"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占比</w:t>
            </w:r>
          </w:p>
        </w:tc>
        <w:tc>
          <w:tcPr>
            <w:tcW w:w="1454" w:type="dxa"/>
            <w:gridSpan w:val="2"/>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货运量</w:t>
            </w:r>
          </w:p>
        </w:tc>
        <w:tc>
          <w:tcPr>
            <w:tcW w:w="974"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占比</w:t>
            </w:r>
          </w:p>
        </w:tc>
        <w:tc>
          <w:tcPr>
            <w:tcW w:w="1467" w:type="dxa"/>
            <w:gridSpan w:val="2"/>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货运量</w:t>
            </w:r>
          </w:p>
        </w:tc>
        <w:tc>
          <w:tcPr>
            <w:tcW w:w="863"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占比</w:t>
            </w:r>
          </w:p>
        </w:tc>
      </w:tr>
      <w:tr>
        <w:tblPrEx>
          <w:tblCellMar>
            <w:top w:w="0" w:type="dxa"/>
            <w:left w:w="108" w:type="dxa"/>
            <w:bottom w:w="0" w:type="dxa"/>
            <w:right w:w="108" w:type="dxa"/>
          </w:tblCellMar>
        </w:tblPrEx>
        <w:trPr>
          <w:trHeight w:val="340" w:hRule="atLeast"/>
        </w:trPr>
        <w:tc>
          <w:tcPr>
            <w:tcW w:w="1682"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2018年</w:t>
            </w:r>
          </w:p>
        </w:tc>
        <w:tc>
          <w:tcPr>
            <w:tcW w:w="1387"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w:t>
            </w:r>
          </w:p>
        </w:tc>
        <w:tc>
          <w:tcPr>
            <w:tcW w:w="1074"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w:t>
            </w:r>
          </w:p>
        </w:tc>
        <w:tc>
          <w:tcPr>
            <w:tcW w:w="1454" w:type="dxa"/>
            <w:gridSpan w:val="2"/>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518</w:t>
            </w:r>
          </w:p>
        </w:tc>
        <w:tc>
          <w:tcPr>
            <w:tcW w:w="974"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77%</w:t>
            </w:r>
          </w:p>
        </w:tc>
        <w:tc>
          <w:tcPr>
            <w:tcW w:w="1467" w:type="dxa"/>
            <w:gridSpan w:val="2"/>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37.56</w:t>
            </w:r>
          </w:p>
        </w:tc>
        <w:tc>
          <w:tcPr>
            <w:tcW w:w="863"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23%</w:t>
            </w:r>
          </w:p>
        </w:tc>
      </w:tr>
      <w:tr>
        <w:tblPrEx>
          <w:tblCellMar>
            <w:top w:w="0" w:type="dxa"/>
            <w:left w:w="108" w:type="dxa"/>
            <w:bottom w:w="0" w:type="dxa"/>
            <w:right w:w="108" w:type="dxa"/>
          </w:tblCellMar>
        </w:tblPrEx>
        <w:trPr>
          <w:trHeight w:val="340" w:hRule="atLeast"/>
        </w:trPr>
        <w:tc>
          <w:tcPr>
            <w:tcW w:w="1682"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2025年</w:t>
            </w:r>
          </w:p>
        </w:tc>
        <w:tc>
          <w:tcPr>
            <w:tcW w:w="1387"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w:t>
            </w:r>
          </w:p>
        </w:tc>
        <w:tc>
          <w:tcPr>
            <w:tcW w:w="1074"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w:t>
            </w:r>
          </w:p>
        </w:tc>
        <w:tc>
          <w:tcPr>
            <w:tcW w:w="1454" w:type="dxa"/>
            <w:gridSpan w:val="2"/>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632.18</w:t>
            </w:r>
          </w:p>
        </w:tc>
        <w:tc>
          <w:tcPr>
            <w:tcW w:w="974"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73%</w:t>
            </w:r>
          </w:p>
        </w:tc>
        <w:tc>
          <w:tcPr>
            <w:tcW w:w="1467" w:type="dxa"/>
            <w:gridSpan w:val="2"/>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86.6</w:t>
            </w:r>
          </w:p>
        </w:tc>
        <w:tc>
          <w:tcPr>
            <w:tcW w:w="863"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27%</w:t>
            </w:r>
          </w:p>
        </w:tc>
      </w:tr>
    </w:tbl>
    <w:p>
      <w:pPr>
        <w:rPr>
          <w:rFonts w:hint="default" w:ascii="Times New Roman" w:hAnsi="Times New Roman" w:cs="Times New Roman"/>
          <w:szCs w:val="28"/>
        </w:rPr>
      </w:pPr>
      <w:bookmarkStart w:id="24" w:name="_Toc102660572"/>
      <w:bookmarkStart w:id="25" w:name="_Toc38641000"/>
      <w:r>
        <w:rPr>
          <w:rFonts w:hint="default" w:ascii="Times New Roman" w:hAnsi="Times New Roman" w:cs="Times New Roman"/>
          <w:szCs w:val="28"/>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jc w:val="center"/>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lang w:eastAsia="zh-CN"/>
        </w:rPr>
        <w:t>三、</w:t>
      </w:r>
      <w:r>
        <w:rPr>
          <w:rFonts w:hint="default" w:ascii="Times New Roman" w:hAnsi="Times New Roman" w:cs="Times New Roman"/>
          <w:b w:val="0"/>
          <w:bCs w:val="0"/>
          <w:sz w:val="32"/>
          <w:szCs w:val="32"/>
        </w:rPr>
        <w:t>发展思路</w:t>
      </w:r>
      <w:bookmarkEnd w:id="24"/>
      <w:bookmarkEnd w:id="25"/>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26" w:name="_Toc38641001"/>
      <w:bookmarkStart w:id="27" w:name="_Toc102660573"/>
      <w:bookmarkStart w:id="28" w:name="_Toc35595514"/>
      <w:r>
        <w:rPr>
          <w:rFonts w:hint="default" w:ascii="Times New Roman" w:hAnsi="Times New Roman" w:eastAsia="楷体_GB2312" w:cs="Times New Roman"/>
          <w:b w:val="0"/>
          <w:bCs w:val="0"/>
          <w:kern w:val="2"/>
          <w:sz w:val="32"/>
          <w:szCs w:val="32"/>
          <w:lang w:val="en-US" w:eastAsia="zh-CN" w:bidi="ar-SA"/>
        </w:rPr>
        <w:t>（一）指导思想</w:t>
      </w:r>
      <w:bookmarkEnd w:id="26"/>
      <w:bookmarkEnd w:id="27"/>
      <w:bookmarkEnd w:id="28"/>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以习近平新时代中国特色社会主义思想为指导，全面贯彻党的十九大精神和浙江省第十四次党代会、二次全会总体部署，秉承创新、协调、绿色、开放、共享发展新理念，发挥“重要窗口”的先行官作用。以强化枢纽地位为导向，加快构建多层次综合立体交通网络，全面提升枢纽辐射能级，着力打造便捷高效运输服务系统，积极推动交通运输转型升级，加快形成安全、便捷、高效、绿色、经济的现代化高质量交通运输体系。</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29" w:name="_Toc102660574"/>
      <w:bookmarkStart w:id="30" w:name="_Toc35595515"/>
      <w:bookmarkStart w:id="31" w:name="_Toc38641002"/>
      <w:r>
        <w:rPr>
          <w:rFonts w:hint="default" w:ascii="Times New Roman" w:hAnsi="Times New Roman" w:eastAsia="楷体_GB2312" w:cs="Times New Roman"/>
          <w:b w:val="0"/>
          <w:bCs w:val="0"/>
          <w:kern w:val="2"/>
          <w:sz w:val="32"/>
          <w:szCs w:val="32"/>
          <w:lang w:val="en-US" w:eastAsia="zh-CN" w:bidi="ar-SA"/>
        </w:rPr>
        <w:t>（二）基本原则</w:t>
      </w:r>
      <w:bookmarkEnd w:id="29"/>
      <w:bookmarkEnd w:id="30"/>
      <w:bookmarkEnd w:id="31"/>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bookmarkStart w:id="32" w:name="_Toc35595516"/>
      <w:bookmarkStart w:id="33" w:name="_Toc29469"/>
      <w:bookmarkStart w:id="34" w:name="_Toc29797200"/>
      <w:r>
        <w:rPr>
          <w:rFonts w:hint="default" w:ascii="Times New Roman" w:hAnsi="Times New Roman" w:eastAsia="仿宋_GB2312" w:cs="Times New Roman"/>
          <w:b/>
          <w:bCs/>
          <w:kern w:val="2"/>
          <w:sz w:val="32"/>
          <w:szCs w:val="32"/>
          <w:lang w:val="en-US" w:eastAsia="zh-CN" w:bidi="ar-SA"/>
        </w:rPr>
        <w:t>1</w:t>
      </w:r>
      <w:r>
        <w:rPr>
          <w:rFonts w:hint="eastAsia" w:cs="Times New Roman"/>
          <w:b/>
          <w:bCs/>
          <w:sz w:val="32"/>
          <w:szCs w:val="32"/>
          <w:lang w:val="en-US" w:eastAsia="zh-CN"/>
        </w:rPr>
        <w:t>．</w:t>
      </w:r>
      <w:r>
        <w:rPr>
          <w:rFonts w:hint="default" w:ascii="Times New Roman" w:hAnsi="Times New Roman" w:eastAsia="仿宋_GB2312" w:cs="Times New Roman"/>
          <w:b/>
          <w:bCs/>
          <w:kern w:val="2"/>
          <w:sz w:val="32"/>
          <w:szCs w:val="32"/>
          <w:lang w:val="en-US" w:eastAsia="zh-CN" w:bidi="ar-SA"/>
        </w:rPr>
        <w:t>规划引领，服务大局</w:t>
      </w:r>
      <w:bookmarkEnd w:id="32"/>
      <w:bookmarkEnd w:id="33"/>
      <w:bookmarkEnd w:id="34"/>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准确把握长三角一体化等重大国家战略，瞄准“两个高水平”奋斗目标，对标交通强国建设示范区、更高质量发展先行区和人民满意交通样板区“三区”建设。加强重要区块互联互通水平，充分发挥综合交通运输对战略支撑、主体功能发挥、经济社会发展的引领作用。</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bookmarkStart w:id="35" w:name="_Toc29797201"/>
      <w:bookmarkStart w:id="36" w:name="_Toc35595517"/>
      <w:bookmarkStart w:id="37" w:name="_Toc1895"/>
      <w:r>
        <w:rPr>
          <w:rFonts w:hint="default" w:ascii="Times New Roman" w:hAnsi="Times New Roman" w:eastAsia="仿宋_GB2312" w:cs="Times New Roman"/>
          <w:b/>
          <w:bCs/>
          <w:kern w:val="2"/>
          <w:sz w:val="32"/>
          <w:szCs w:val="32"/>
          <w:lang w:val="en-US" w:eastAsia="zh-CN" w:bidi="ar-SA"/>
        </w:rPr>
        <w:t>2</w:t>
      </w:r>
      <w:r>
        <w:rPr>
          <w:rFonts w:hint="eastAsia" w:cs="Times New Roman"/>
          <w:b/>
          <w:bCs/>
          <w:sz w:val="32"/>
          <w:szCs w:val="32"/>
          <w:lang w:val="en-US" w:eastAsia="zh-CN"/>
        </w:rPr>
        <w:t>．</w:t>
      </w:r>
      <w:r>
        <w:rPr>
          <w:rFonts w:hint="default" w:ascii="Times New Roman" w:hAnsi="Times New Roman" w:eastAsia="仿宋_GB2312" w:cs="Times New Roman"/>
          <w:b/>
          <w:bCs/>
          <w:kern w:val="2"/>
          <w:sz w:val="32"/>
          <w:szCs w:val="32"/>
          <w:lang w:val="en-US" w:eastAsia="zh-CN" w:bidi="ar-SA"/>
        </w:rPr>
        <w:t>适度超前，科学布局</w:t>
      </w:r>
      <w:bookmarkEnd w:id="35"/>
      <w:bookmarkEnd w:id="36"/>
      <w:bookmarkEnd w:id="37"/>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按照交通强国和高质量发展要求，适度超前规划平阳县“十四五”综合交通运输体系，根据平阳县交通需求和社会发展实际，提升综合交通运输服务能力。</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bookmarkStart w:id="38" w:name="_Toc29797202"/>
      <w:bookmarkStart w:id="39" w:name="_Toc4084"/>
      <w:bookmarkStart w:id="40" w:name="_Toc35595518"/>
      <w:r>
        <w:rPr>
          <w:rFonts w:hint="default" w:ascii="Times New Roman" w:hAnsi="Times New Roman" w:eastAsia="仿宋_GB2312" w:cs="Times New Roman"/>
          <w:b/>
          <w:bCs/>
          <w:kern w:val="2"/>
          <w:sz w:val="32"/>
          <w:szCs w:val="32"/>
          <w:lang w:val="en-US" w:eastAsia="zh-CN" w:bidi="ar-SA"/>
        </w:rPr>
        <w:t>3</w:t>
      </w:r>
      <w:r>
        <w:rPr>
          <w:rFonts w:hint="eastAsia" w:cs="Times New Roman"/>
          <w:b/>
          <w:bCs/>
          <w:sz w:val="32"/>
          <w:szCs w:val="32"/>
          <w:lang w:val="en-US" w:eastAsia="zh-CN"/>
        </w:rPr>
        <w:t>．</w:t>
      </w:r>
      <w:r>
        <w:rPr>
          <w:rFonts w:hint="default" w:ascii="Times New Roman" w:hAnsi="Times New Roman" w:eastAsia="仿宋_GB2312" w:cs="Times New Roman"/>
          <w:b/>
          <w:bCs/>
          <w:kern w:val="2"/>
          <w:sz w:val="32"/>
          <w:szCs w:val="32"/>
          <w:lang w:val="en-US" w:eastAsia="zh-CN" w:bidi="ar-SA"/>
        </w:rPr>
        <w:t>高效衔接，</w:t>
      </w:r>
      <w:bookmarkEnd w:id="38"/>
      <w:bookmarkEnd w:id="39"/>
      <w:bookmarkEnd w:id="40"/>
      <w:r>
        <w:rPr>
          <w:rFonts w:hint="default" w:ascii="Times New Roman" w:hAnsi="Times New Roman" w:eastAsia="仿宋_GB2312" w:cs="Times New Roman"/>
          <w:b/>
          <w:bCs/>
          <w:kern w:val="2"/>
          <w:sz w:val="32"/>
          <w:szCs w:val="32"/>
          <w:lang w:val="en-US" w:eastAsia="zh-CN" w:bidi="ar-SA"/>
        </w:rPr>
        <w:t xml:space="preserve">协调发展 </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与国土空间规划充分衔接，确保综合交通建设与土地利用、生态保护等相协调；各运输方式协调组合，加快建立联通内外、交织成网、协调高效的综合交通运输体系。</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bookmarkStart w:id="41" w:name="_Toc27329"/>
      <w:bookmarkStart w:id="42" w:name="_Toc29797203"/>
      <w:bookmarkStart w:id="43" w:name="_Toc35595519"/>
      <w:r>
        <w:rPr>
          <w:rFonts w:hint="default" w:ascii="Times New Roman" w:hAnsi="Times New Roman" w:eastAsia="仿宋_GB2312" w:cs="Times New Roman"/>
          <w:b/>
          <w:bCs/>
          <w:kern w:val="2"/>
          <w:sz w:val="32"/>
          <w:szCs w:val="32"/>
          <w:lang w:val="en-US" w:eastAsia="zh-CN" w:bidi="ar-SA"/>
        </w:rPr>
        <w:t>4</w:t>
      </w:r>
      <w:r>
        <w:rPr>
          <w:rFonts w:hint="eastAsia" w:cs="Times New Roman"/>
          <w:b/>
          <w:bCs/>
          <w:sz w:val="32"/>
          <w:szCs w:val="32"/>
          <w:lang w:val="en-US" w:eastAsia="zh-CN"/>
        </w:rPr>
        <w:t>．</w:t>
      </w:r>
      <w:r>
        <w:rPr>
          <w:rFonts w:hint="default" w:ascii="Times New Roman" w:hAnsi="Times New Roman" w:eastAsia="仿宋_GB2312" w:cs="Times New Roman"/>
          <w:b/>
          <w:bCs/>
          <w:kern w:val="2"/>
          <w:sz w:val="32"/>
          <w:szCs w:val="32"/>
          <w:lang w:val="en-US" w:eastAsia="zh-CN" w:bidi="ar-SA"/>
        </w:rPr>
        <w:t>智慧互联，绿色集约</w:t>
      </w:r>
      <w:bookmarkEnd w:id="41"/>
      <w:bookmarkEnd w:id="42"/>
      <w:bookmarkEnd w:id="43"/>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发挥数字经济优势，建设泛在互联的智慧高速。加强研究深度，合理综合利用交通通道资源，考虑资源环境承载能力，实现要素使用效率最大化。</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44" w:name="_Toc102660575"/>
      <w:r>
        <w:rPr>
          <w:rFonts w:hint="default" w:ascii="Times New Roman" w:hAnsi="Times New Roman" w:eastAsia="楷体_GB2312" w:cs="Times New Roman"/>
          <w:b w:val="0"/>
          <w:bCs w:val="0"/>
          <w:kern w:val="2"/>
          <w:sz w:val="32"/>
          <w:szCs w:val="32"/>
          <w:lang w:val="en-US" w:eastAsia="zh-CN" w:bidi="ar-SA"/>
        </w:rPr>
        <w:t>（三）发展目标</w:t>
      </w:r>
      <w:bookmarkEnd w:id="44"/>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bookmarkStart w:id="45" w:name="_Toc38641004"/>
      <w:r>
        <w:rPr>
          <w:rFonts w:hint="default" w:ascii="Times New Roman" w:hAnsi="Times New Roman" w:eastAsia="仿宋_GB2312" w:cs="Times New Roman"/>
          <w:b/>
          <w:bCs/>
          <w:kern w:val="2"/>
          <w:sz w:val="32"/>
          <w:szCs w:val="32"/>
          <w:lang w:val="en-US" w:eastAsia="zh-CN" w:bidi="ar-SA"/>
        </w:rPr>
        <w:t>1</w:t>
      </w:r>
      <w:r>
        <w:rPr>
          <w:rFonts w:hint="eastAsia" w:cs="Times New Roman"/>
          <w:b/>
          <w:bCs/>
          <w:sz w:val="32"/>
          <w:szCs w:val="32"/>
          <w:lang w:val="en-US" w:eastAsia="zh-CN"/>
        </w:rPr>
        <w:t>．</w:t>
      </w:r>
      <w:r>
        <w:rPr>
          <w:rFonts w:hint="default" w:ascii="Times New Roman" w:hAnsi="Times New Roman" w:eastAsia="仿宋_GB2312" w:cs="Times New Roman"/>
          <w:b/>
          <w:bCs/>
          <w:kern w:val="2"/>
          <w:sz w:val="32"/>
          <w:szCs w:val="32"/>
          <w:lang w:val="en-US" w:eastAsia="zh-CN" w:bidi="ar-SA"/>
        </w:rPr>
        <w:t>总体目标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规划到2025年将平阳县打造成为</w:t>
      </w:r>
      <w:r>
        <w:rPr>
          <w:rFonts w:hint="default" w:ascii="Times New Roman" w:hAnsi="Times New Roman" w:cs="Times New Roman"/>
          <w:b/>
          <w:bCs/>
          <w:i/>
          <w:iCs/>
          <w:sz w:val="32"/>
          <w:szCs w:val="32"/>
          <w:u w:val="single"/>
        </w:rPr>
        <w:t>“温州南部交通枢纽中心”</w:t>
      </w:r>
      <w:r>
        <w:rPr>
          <w:rFonts w:hint="default" w:ascii="Times New Roman" w:hAnsi="Times New Roman" w:cs="Times New Roman"/>
          <w:sz w:val="32"/>
          <w:szCs w:val="32"/>
        </w:rPr>
        <w:t>总目标。结合平阳交通发展现状，提出平阳</w:t>
      </w:r>
      <w:r>
        <w:rPr>
          <w:rFonts w:hint="default" w:ascii="Times New Roman" w:hAnsi="Times New Roman" w:cs="Times New Roman"/>
          <w:b/>
          <w:bCs/>
          <w:sz w:val="32"/>
          <w:szCs w:val="32"/>
        </w:rPr>
        <w:t>综合交通运输发展“十四五”规划“123356”目标：</w:t>
      </w:r>
    </w:p>
    <w:p>
      <w:pPr>
        <w:keepNext w:val="0"/>
        <w:keepLines w:val="0"/>
        <w:pageBreakBefore w:val="0"/>
        <w:widowControl w:val="0"/>
        <w:kinsoku/>
        <w:wordWrap/>
        <w:overflowPunct/>
        <w:topLinePunct w:val="0"/>
        <w:autoSpaceDE/>
        <w:autoSpaceDN/>
        <w:bidi w:val="0"/>
        <w:adjustRightInd/>
        <w:spacing w:line="560" w:lineRule="exact"/>
        <w:ind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“1”---围绕“打造温州南部交通枢纽中心”一个总目标</w:t>
      </w:r>
    </w:p>
    <w:p>
      <w:pPr>
        <w:keepNext w:val="0"/>
        <w:keepLines w:val="0"/>
        <w:pageBreakBefore w:val="0"/>
        <w:widowControl w:val="0"/>
        <w:kinsoku/>
        <w:wordWrap/>
        <w:overflowPunct/>
        <w:topLinePunct w:val="0"/>
        <w:autoSpaceDE/>
        <w:autoSpaceDN/>
        <w:bidi w:val="0"/>
        <w:adjustRightInd/>
        <w:spacing w:line="560" w:lineRule="exact"/>
        <w:ind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 xml:space="preserve">“2”---建设总投资二百亿元交通建设项目 </w:t>
      </w:r>
    </w:p>
    <w:p>
      <w:pPr>
        <w:keepNext w:val="0"/>
        <w:keepLines w:val="0"/>
        <w:pageBreakBefore w:val="0"/>
        <w:widowControl w:val="0"/>
        <w:kinsoku/>
        <w:wordWrap/>
        <w:overflowPunct/>
        <w:topLinePunct w:val="0"/>
        <w:autoSpaceDE/>
        <w:autoSpaceDN/>
        <w:bidi w:val="0"/>
        <w:adjustRightInd/>
        <w:spacing w:line="560" w:lineRule="exact"/>
        <w:ind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“3”---打造“两轴一带”的3大交通大通道</w:t>
      </w:r>
    </w:p>
    <w:p>
      <w:pPr>
        <w:keepNext w:val="0"/>
        <w:keepLines w:val="0"/>
        <w:pageBreakBefore w:val="0"/>
        <w:widowControl w:val="0"/>
        <w:kinsoku/>
        <w:wordWrap/>
        <w:overflowPunct/>
        <w:topLinePunct w:val="0"/>
        <w:autoSpaceDE/>
        <w:autoSpaceDN/>
        <w:bidi w:val="0"/>
        <w:adjustRightInd/>
        <w:spacing w:line="560" w:lineRule="exact"/>
        <w:ind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“3”---构筑“15-30-60”三大交通时空圈层</w:t>
      </w:r>
    </w:p>
    <w:p>
      <w:pPr>
        <w:keepNext w:val="0"/>
        <w:keepLines w:val="0"/>
        <w:pageBreakBefore w:val="0"/>
        <w:widowControl w:val="0"/>
        <w:kinsoku/>
        <w:wordWrap/>
        <w:overflowPunct/>
        <w:topLinePunct w:val="0"/>
        <w:autoSpaceDE/>
        <w:autoSpaceDN/>
        <w:bidi w:val="0"/>
        <w:adjustRightInd/>
        <w:spacing w:line="560" w:lineRule="exact"/>
        <w:ind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“5”---谋划总投资五百亿的综合交通建设项目</w:t>
      </w:r>
    </w:p>
    <w:p>
      <w:pPr>
        <w:keepNext w:val="0"/>
        <w:keepLines w:val="0"/>
        <w:pageBreakBefore w:val="0"/>
        <w:widowControl w:val="0"/>
        <w:kinsoku/>
        <w:wordWrap/>
        <w:overflowPunct/>
        <w:topLinePunct w:val="0"/>
        <w:autoSpaceDE/>
        <w:autoSpaceDN/>
        <w:bidi w:val="0"/>
        <w:adjustRightInd/>
        <w:spacing w:line="560" w:lineRule="exact"/>
        <w:ind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“6”---完成交通布局、高效客运、整合货运、创新智慧、绿色安全、行业管理六大重点任务</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2</w:t>
      </w:r>
      <w:r>
        <w:rPr>
          <w:rFonts w:hint="eastAsia" w:cs="Times New Roman"/>
          <w:b/>
          <w:bCs/>
          <w:sz w:val="32"/>
          <w:szCs w:val="32"/>
          <w:lang w:val="en-US" w:eastAsia="zh-CN"/>
        </w:rPr>
        <w:t>．</w:t>
      </w:r>
      <w:r>
        <w:rPr>
          <w:rFonts w:hint="default" w:ascii="Times New Roman" w:hAnsi="Times New Roman" w:eastAsia="仿宋_GB2312" w:cs="Times New Roman"/>
          <w:b/>
          <w:bCs/>
          <w:kern w:val="2"/>
          <w:sz w:val="32"/>
          <w:szCs w:val="32"/>
          <w:lang w:val="en-US" w:eastAsia="zh-CN" w:bidi="ar-SA"/>
        </w:rPr>
        <w:t>具体目标</w:t>
      </w:r>
      <w:bookmarkEnd w:id="45"/>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综合考虑“十四五”省级市级交通发展重点合指标，结合平阳县实际交通实际情况，确定具体指标：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综合立体交通网络基本形成。北融市区、南连苍南、西引文泰，完善对外通道布局，加快区域交通干线的建设，加密、升级市域交通网络，加快国省道“瓶颈路”、“拥堵路”段的改扩建，充分利用现有农村路网基础</w:t>
      </w:r>
      <w:r>
        <w:rPr>
          <w:rFonts w:hint="eastAsia" w:cs="Times New Roman"/>
          <w:sz w:val="32"/>
          <w:szCs w:val="32"/>
          <w:lang w:val="en-US" w:eastAsia="zh-CN"/>
        </w:rPr>
        <w:t>设</w:t>
      </w:r>
      <w:r>
        <w:rPr>
          <w:rFonts w:hint="default" w:ascii="Times New Roman" w:hAnsi="Times New Roman" w:cs="Times New Roman"/>
          <w:sz w:val="32"/>
          <w:szCs w:val="32"/>
        </w:rPr>
        <w:t>施提升改造，其中高速公路达到90公里，二级以上公路里程达到300公里，力争实现人口在100人以上的自然村通等级公路。</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——枢纽辐射能级大幅提升。锚固温州南部交通枢纽中心定位，到2025年，</w:t>
      </w:r>
      <w:r>
        <w:rPr>
          <w:rFonts w:hint="default" w:ascii="Times New Roman" w:hAnsi="Times New Roman" w:cs="Times New Roman"/>
          <w:b/>
          <w:bCs/>
          <w:sz w:val="32"/>
          <w:szCs w:val="32"/>
        </w:rPr>
        <w:t>基本构筑“15-30-60”交通时空圈：15分钟主要乡镇，工业区、景区上高速或国省道；30分钟主要镇区、景区到高铁站，主要镇区到中心城区；60分钟中心城区至温州城市群及浙中城市群主要县市区</w:t>
      </w:r>
      <w:r>
        <w:rPr>
          <w:rFonts w:hint="default" w:ascii="Times New Roman" w:hAnsi="Times New Roman" w:cs="Times New Roman"/>
          <w:sz w:val="32"/>
          <w:szCs w:val="32"/>
        </w:rPr>
        <w:t xml:space="preserve">。整合交通运输资源，重点打造平阳东站综合客运枢纽；大力推进港口资源整合，积极推动平阳水运复兴。 </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公共出行服务快速便捷。出行品质全面提升，高速公路10万人以上城镇通达率达100%，建制村通双车道公路比例达70%，三级以上公路乡镇覆盖率达90%。构建便捷高效的综合客运体系，实现城乡客运一体化和交通运输基本公共服务均等化，市域公交一体化全覆盖，城区公交站点300米覆盖率达到85%，城区公交站点500米覆盖率达到100%。</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交通系统绿色可持续发展。实现中心城区新能源公交比例达85%、中心城区绿色化出行分担率80%以上、农村公路安防设置全覆盖、道路运输万人死亡率0.5以内、道路运输领域事故亡人数下降30%、港口危险货物重大危险源100%受控、超龄运输船舶淘汰率100%。</w:t>
      </w:r>
    </w:p>
    <w:p>
      <w:pPr>
        <w:pStyle w:val="2"/>
        <w:rPr>
          <w:rFonts w:hint="default" w:ascii="Times New Roman" w:hAnsi="Times New Roman" w:cs="Times New Roman"/>
          <w:sz w:val="32"/>
          <w:szCs w:val="32"/>
        </w:rPr>
      </w:pPr>
    </w:p>
    <w:p>
      <w:pPr>
        <w:pStyle w:val="2"/>
        <w:rPr>
          <w:rFonts w:hint="default" w:ascii="Times New Roman" w:hAnsi="Times New Roman" w:cs="Times New Roman"/>
          <w:sz w:val="32"/>
          <w:szCs w:val="32"/>
        </w:rPr>
      </w:pP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表3-1</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平阳县“十四五”交通发展重点指标</w:t>
      </w:r>
    </w:p>
    <w:tbl>
      <w:tblPr>
        <w:tblStyle w:val="16"/>
        <w:tblW w:w="89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751"/>
        <w:gridCol w:w="2842"/>
        <w:gridCol w:w="941"/>
        <w:gridCol w:w="1131"/>
        <w:gridCol w:w="1080"/>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指标理念</w:t>
            </w:r>
          </w:p>
        </w:tc>
        <w:tc>
          <w:tcPr>
            <w:tcW w:w="75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一级指标</w:t>
            </w: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二级指标</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计量</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单位</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（现状）2019年</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2025年</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目标</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restart"/>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便捷开放</w:t>
            </w:r>
          </w:p>
        </w:tc>
        <w:tc>
          <w:tcPr>
            <w:tcW w:w="751" w:type="dxa"/>
            <w:vMerge w:val="restart"/>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线网规模</w:t>
            </w: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公路总里程</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公里</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1649</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2200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二级以上公路里程</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公里</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157</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300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一级及以上公路占比</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5%</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8%</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restart"/>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区域可达</w:t>
            </w: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至温州中心城区</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分钟</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45</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30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至金义都市圈、杭州都市圈、宁波都市圈、福州都市圈</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小时</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2.5</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1.5</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至长三角、海西城市核心区</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小时</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3.5</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2.5</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restart"/>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通达高效</w:t>
            </w:r>
          </w:p>
        </w:tc>
        <w:tc>
          <w:tcPr>
            <w:tcW w:w="751" w:type="dxa"/>
            <w:vMerge w:val="restart"/>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通达覆盖</w:t>
            </w: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高速公路10万人以上城镇通达率</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80%</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100%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普通国省道二级及以上公路占比</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未统计</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85%</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建制村通双车道公路比例</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未统计</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70%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三级以上公路乡镇覆盖率</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未统计</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90%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restart"/>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城乡衔接</w:t>
            </w: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县域内中心镇15分钟上高速/国道比例</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30%</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85%</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县域内中心镇到达30分钟到达县中心区域比例</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40%</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90%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城乡物流节点镇级覆盖率</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未统计</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100%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建制村快递物流网点覆盖率</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未统计</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100%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restar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绿色品质</w:t>
            </w:r>
          </w:p>
        </w:tc>
        <w:tc>
          <w:tcPr>
            <w:tcW w:w="751" w:type="dxa"/>
            <w:vMerge w:val="restar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便捷出行</w:t>
            </w: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城区公交站点300米覆盖率</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未统计</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85%</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422"/>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422"/>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城区公交站点500米覆盖率</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未统计</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100%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中心城区营运新能源公交车占比</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55%</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85%</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中心城区绿色化出行分担率</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未统计</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80%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绿色码头设施</w:t>
            </w: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五类专业化码头岸电设施覆盖率</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未统计</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100%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restart"/>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安全友好</w:t>
            </w:r>
          </w:p>
        </w:tc>
        <w:tc>
          <w:tcPr>
            <w:tcW w:w="3593" w:type="dxa"/>
            <w:gridSpan w:val="2"/>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道路交通万人死亡率</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人/年</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0.6</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&lt;0.5</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3593" w:type="dxa"/>
            <w:gridSpan w:val="2"/>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重点营运车辆联网上线率</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100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约束性</w:t>
            </w:r>
          </w:p>
        </w:tc>
      </w:tr>
    </w:tbl>
    <w:p>
      <w:pPr>
        <w:rPr>
          <w:rFonts w:hint="default" w:ascii="Times New Roman" w:hAnsi="Times New Roman" w:cs="Times New Roman"/>
          <w:szCs w:val="28"/>
        </w:rPr>
      </w:pPr>
      <w:r>
        <w:rPr>
          <w:rFonts w:hint="default" w:ascii="Times New Roman" w:hAnsi="Times New Roman" w:cs="Times New Roman"/>
          <w:szCs w:val="28"/>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0" w:firstLine="640" w:firstLineChars="200"/>
        <w:jc w:val="center"/>
        <w:textAlignment w:val="auto"/>
        <w:rPr>
          <w:rFonts w:hint="default" w:ascii="Times New Roman" w:hAnsi="Times New Roman" w:cs="Times New Roman"/>
          <w:b w:val="0"/>
          <w:bCs w:val="0"/>
          <w:sz w:val="32"/>
          <w:szCs w:val="32"/>
        </w:rPr>
      </w:pPr>
      <w:bookmarkStart w:id="46" w:name="_Toc38641005"/>
      <w:bookmarkStart w:id="47" w:name="_Toc102660576"/>
      <w:r>
        <w:rPr>
          <w:rFonts w:hint="default" w:ascii="Times New Roman" w:hAnsi="Times New Roman" w:cs="Times New Roman"/>
          <w:b w:val="0"/>
          <w:bCs w:val="0"/>
          <w:sz w:val="32"/>
          <w:szCs w:val="32"/>
          <w:lang w:eastAsia="zh-CN"/>
        </w:rPr>
        <w:t>四、</w:t>
      </w:r>
      <w:r>
        <w:rPr>
          <w:rFonts w:hint="default" w:ascii="Times New Roman" w:hAnsi="Times New Roman" w:cs="Times New Roman"/>
          <w:b w:val="0"/>
          <w:bCs w:val="0"/>
          <w:sz w:val="32"/>
          <w:szCs w:val="32"/>
        </w:rPr>
        <w:t>综合交通布局方案</w:t>
      </w:r>
      <w:bookmarkEnd w:id="46"/>
      <w:bookmarkEnd w:id="47"/>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48" w:name="_Toc35595522"/>
      <w:bookmarkStart w:id="49" w:name="_Toc102660577"/>
      <w:bookmarkStart w:id="50" w:name="_Toc38641006"/>
      <w:r>
        <w:rPr>
          <w:rFonts w:hint="default" w:ascii="Times New Roman" w:hAnsi="Times New Roman" w:eastAsia="楷体_GB2312" w:cs="Times New Roman"/>
          <w:b w:val="0"/>
          <w:bCs w:val="0"/>
          <w:kern w:val="2"/>
          <w:sz w:val="32"/>
          <w:szCs w:val="32"/>
          <w:lang w:val="en-US" w:eastAsia="zh-CN" w:bidi="ar-SA"/>
        </w:rPr>
        <w:t>（一）布局原则</w:t>
      </w:r>
      <w:bookmarkEnd w:id="48"/>
      <w:bookmarkEnd w:id="49"/>
      <w:bookmarkEnd w:id="50"/>
    </w:p>
    <w:p>
      <w:pPr>
        <w:keepNext w:val="0"/>
        <w:keepLines w:val="0"/>
        <w:pageBreakBefore w:val="0"/>
        <w:widowControl w:val="0"/>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坚持着眼全局、内外衔接。</w:t>
      </w:r>
      <w:r>
        <w:rPr>
          <w:rFonts w:hint="default" w:ascii="Times New Roman" w:hAnsi="Times New Roman" w:cs="Times New Roman"/>
          <w:sz w:val="32"/>
          <w:szCs w:val="32"/>
        </w:rPr>
        <w:t>全面对接“一带一路”、长三角高质量一体化发展等国家战略，统筹衔接省内“六纵六横”通道布局和温州都市区综合交通体系，全方位、多角度服务国家开放大局和浙江省、温州都市区经济社会发展全局，提升辐射带动周边区域发展的能力，充分发挥交通运输的基础性、先导性、战略性作用。</w:t>
      </w:r>
    </w:p>
    <w:p>
      <w:pPr>
        <w:keepNext w:val="0"/>
        <w:keepLines w:val="0"/>
        <w:pageBreakBefore w:val="0"/>
        <w:widowControl w:val="0"/>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坚持统筹规划、共建共享。</w:t>
      </w:r>
      <w:r>
        <w:rPr>
          <w:rFonts w:hint="default" w:ascii="Times New Roman" w:hAnsi="Times New Roman" w:cs="Times New Roman"/>
          <w:sz w:val="32"/>
          <w:szCs w:val="32"/>
        </w:rPr>
        <w:t>树立大交通发展理念和全域交通“一盘棋”思想，打破区域间、部门间和不同交通方式间的藩篱，推进县域各方式交通运输资源统筹规划、整体布局，以县域轨道、快速公路网等一体化快速交通网络规划建设，引领温州南部副中心一体化发展，推动平阳高质量融入长三角城市群、对接海西经济区。</w:t>
      </w:r>
    </w:p>
    <w:p>
      <w:pPr>
        <w:keepNext w:val="0"/>
        <w:keepLines w:val="0"/>
        <w:pageBreakBefore w:val="0"/>
        <w:widowControl w:val="0"/>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坚持服务民生、公平普惠。</w:t>
      </w:r>
      <w:r>
        <w:rPr>
          <w:rFonts w:hint="default" w:ascii="Times New Roman" w:hAnsi="Times New Roman" w:cs="Times New Roman"/>
          <w:sz w:val="32"/>
          <w:szCs w:val="32"/>
        </w:rPr>
        <w:t>以建成人民满意交通为统领，坚持以人民为中心的发展思想，推进城乡交通基本公共服务均等化，着力提升运输服务效率和服务品质，增强人民幸福感、获得感、安全感，实现“人享其行、物优其流”。</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51" w:name="_Toc35595523"/>
      <w:bookmarkStart w:id="52" w:name="_Toc102660578"/>
      <w:bookmarkStart w:id="53" w:name="_Toc38641007"/>
      <w:r>
        <w:rPr>
          <w:rFonts w:hint="default" w:ascii="Times New Roman" w:hAnsi="Times New Roman" w:eastAsia="楷体_GB2312" w:cs="Times New Roman"/>
          <w:b w:val="0"/>
          <w:bCs w:val="0"/>
          <w:kern w:val="2"/>
          <w:sz w:val="32"/>
          <w:szCs w:val="32"/>
          <w:lang w:val="en-US" w:eastAsia="zh-CN" w:bidi="ar-SA"/>
        </w:rPr>
        <w:t>（二）布局思路</w:t>
      </w:r>
      <w:bookmarkEnd w:id="51"/>
      <w:bookmarkEnd w:id="52"/>
      <w:bookmarkEnd w:id="53"/>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按照</w:t>
      </w:r>
      <w:r>
        <w:rPr>
          <w:rFonts w:hint="default" w:ascii="Times New Roman" w:hAnsi="Times New Roman" w:cs="Times New Roman"/>
          <w:b/>
          <w:bCs/>
          <w:sz w:val="32"/>
          <w:szCs w:val="32"/>
        </w:rPr>
        <w:t>“圈层发散、轴带辐射、枢纽强化”</w:t>
      </w:r>
      <w:r>
        <w:rPr>
          <w:rFonts w:hint="default" w:ascii="Times New Roman" w:hAnsi="Times New Roman" w:cs="Times New Roman"/>
          <w:sz w:val="32"/>
          <w:szCs w:val="32"/>
        </w:rPr>
        <w:t>的思路，完善不同运输方式构成的综合立体交通网络布局，全力打造优质发达的对外骨干网、高效完善的一体化快速网、普惠广泛的基础服务网，优化内外交通结构，强化交通运输重要枢纽节点建设构建</w:t>
      </w:r>
      <w:r>
        <w:rPr>
          <w:rFonts w:hint="default" w:ascii="Times New Roman" w:hAnsi="Times New Roman" w:cs="Times New Roman"/>
          <w:b/>
          <w:bCs/>
          <w:sz w:val="32"/>
          <w:szCs w:val="32"/>
        </w:rPr>
        <w:t>“对外交通快速化、对内交通便捷化、综合枢纽一体化”</w:t>
      </w:r>
      <w:r>
        <w:rPr>
          <w:rFonts w:hint="default" w:ascii="Times New Roman" w:hAnsi="Times New Roman" w:cs="Times New Roman"/>
          <w:sz w:val="32"/>
          <w:szCs w:val="32"/>
        </w:rPr>
        <w:t>的综合交通体系。</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54" w:name="_Toc38641008"/>
      <w:bookmarkStart w:id="55" w:name="_Toc102660579"/>
      <w:bookmarkStart w:id="56" w:name="_Toc35595524"/>
      <w:r>
        <w:rPr>
          <w:rFonts w:hint="default" w:ascii="Times New Roman" w:hAnsi="Times New Roman" w:eastAsia="楷体_GB2312" w:cs="Times New Roman"/>
          <w:b w:val="0"/>
          <w:bCs w:val="0"/>
          <w:kern w:val="2"/>
          <w:sz w:val="32"/>
          <w:szCs w:val="32"/>
          <w:lang w:val="en-US" w:eastAsia="zh-CN" w:bidi="ar-SA"/>
        </w:rPr>
        <w:t>（三）布局方案</w:t>
      </w:r>
      <w:bookmarkEnd w:id="54"/>
      <w:bookmarkEnd w:id="55"/>
      <w:bookmarkEnd w:id="56"/>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1</w:t>
      </w:r>
      <w:r>
        <w:rPr>
          <w:rFonts w:hint="eastAsia" w:cs="Times New Roman"/>
          <w:b/>
          <w:bCs/>
          <w:sz w:val="32"/>
          <w:szCs w:val="32"/>
          <w:lang w:val="en-US" w:eastAsia="zh-CN"/>
        </w:rPr>
        <w:t>．</w:t>
      </w:r>
      <w:r>
        <w:rPr>
          <w:rFonts w:hint="default" w:ascii="Times New Roman" w:hAnsi="Times New Roman" w:eastAsia="仿宋_GB2312" w:cs="Times New Roman"/>
          <w:b/>
          <w:bCs/>
          <w:kern w:val="2"/>
          <w:sz w:val="32"/>
          <w:szCs w:val="32"/>
          <w:lang w:val="en-US" w:eastAsia="zh-CN" w:bidi="ar-SA"/>
        </w:rPr>
        <w:t>县域空间结构布局</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《平阳县国民经济和社会发展第十四个五年规划和二</w:t>
      </w:r>
      <w:r>
        <w:rPr>
          <w:rFonts w:hint="default" w:ascii="Times New Roman" w:hAnsi="Times New Roman" w:eastAsia="微软雅黑" w:cs="Times New Roman"/>
          <w:sz w:val="32"/>
          <w:szCs w:val="32"/>
        </w:rPr>
        <w:t>〇</w:t>
      </w:r>
      <w:r>
        <w:rPr>
          <w:rFonts w:hint="default" w:ascii="Times New Roman" w:hAnsi="Times New Roman" w:cs="Times New Roman"/>
          <w:sz w:val="32"/>
          <w:szCs w:val="32"/>
        </w:rPr>
        <w:t>三五年远景目标纲要》提出构建“</w:t>
      </w:r>
      <w:r>
        <w:rPr>
          <w:rFonts w:hint="default" w:ascii="Times New Roman" w:hAnsi="Times New Roman" w:cs="Times New Roman"/>
          <w:b/>
          <w:bCs/>
          <w:sz w:val="32"/>
          <w:szCs w:val="32"/>
        </w:rPr>
        <w:t>一主一副一带三区</w:t>
      </w:r>
      <w:r>
        <w:rPr>
          <w:rFonts w:hint="default" w:ascii="Times New Roman" w:hAnsi="Times New Roman" w:cs="Times New Roman"/>
          <w:sz w:val="32"/>
          <w:szCs w:val="32"/>
        </w:rPr>
        <w:t>”的城市空间格局，提升发展南部副中心，加快建设由平阳、苍南、龙港组成的都市区南部副中心，大力推进鳌江流域协同发展。</w:t>
      </w:r>
    </w:p>
    <w:p>
      <w:pPr>
        <w:keepNext w:val="0"/>
        <w:keepLines w:val="0"/>
        <w:pageBreakBefore w:val="0"/>
        <w:widowControl w:val="0"/>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“一主一副”</w:t>
      </w:r>
      <w:r>
        <w:rPr>
          <w:rFonts w:hint="default" w:ascii="Times New Roman" w:hAnsi="Times New Roman" w:cs="Times New Roman"/>
          <w:sz w:val="32"/>
          <w:szCs w:val="32"/>
        </w:rPr>
        <w:t>：即昆鳌主中心与水头副中心。“一带”即沿江城市发展带。加快建设</w:t>
      </w:r>
      <w:r>
        <w:rPr>
          <w:rFonts w:hint="default" w:ascii="Times New Roman" w:hAnsi="Times New Roman" w:cs="Times New Roman"/>
          <w:b/>
          <w:bCs/>
          <w:sz w:val="32"/>
          <w:szCs w:val="32"/>
        </w:rPr>
        <w:t>“一主一副”</w:t>
      </w:r>
      <w:r>
        <w:rPr>
          <w:rFonts w:hint="default" w:ascii="Times New Roman" w:hAnsi="Times New Roman" w:cs="Times New Roman"/>
          <w:sz w:val="32"/>
          <w:szCs w:val="32"/>
        </w:rPr>
        <w:t>。昆鳌主中心要加快昆阳城东新区、鳌江滨江商务区等重点区块建设，构建快速交通网络，推进万全、海西等城镇协同发展。水头副中心要加快北港新城建设，完善内外交通网络和公共服务功能，强化对周边乡镇的辐射带动作用。</w:t>
      </w:r>
    </w:p>
    <w:p>
      <w:pPr>
        <w:keepNext w:val="0"/>
        <w:keepLines w:val="0"/>
        <w:pageBreakBefore w:val="0"/>
        <w:widowControl w:val="0"/>
        <w:kinsoku/>
        <w:wordWrap/>
        <w:overflowPunct/>
        <w:topLinePunct w:val="0"/>
        <w:autoSpaceDE/>
        <w:autoSpaceDN/>
        <w:bidi w:val="0"/>
        <w:adjustRightInd/>
        <w:snapToGrid w:val="0"/>
        <w:spacing w:before="313" w:beforeLines="100" w:line="240" w:lineRule="auto"/>
        <w:ind w:left="0" w:firstLine="0" w:firstLineChars="0"/>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5292090" cy="2988310"/>
            <wp:effectExtent l="0" t="0" r="3810" b="2540"/>
            <wp:docPr id="47" name="图片 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5"/>
                    <pic:cNvPicPr>
                      <a:picLocks noChangeAspect="true"/>
                    </pic:cNvPicPr>
                  </pic:nvPicPr>
                  <pic:blipFill>
                    <a:blip r:embed="rId14"/>
                    <a:stretch>
                      <a:fillRect/>
                    </a:stretch>
                  </pic:blipFill>
                  <pic:spPr>
                    <a:xfrm>
                      <a:off x="0" y="0"/>
                      <a:ext cx="5292090" cy="2988310"/>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图4-1 </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平阳“三轴”城市空间布局</w:t>
      </w:r>
    </w:p>
    <w:p>
      <w:pPr>
        <w:keepNext w:val="0"/>
        <w:keepLines w:val="0"/>
        <w:pageBreakBefore w:val="0"/>
        <w:widowControl w:val="0"/>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“三区”</w:t>
      </w:r>
      <w:r>
        <w:rPr>
          <w:rFonts w:hint="default" w:ascii="Times New Roman" w:hAnsi="Times New Roman" w:cs="Times New Roman"/>
          <w:sz w:val="32"/>
          <w:szCs w:val="32"/>
        </w:rPr>
        <w:t>：“三区”即滨海城市发展区、绿色经济发展区、蓝色经济发展区。</w:t>
      </w:r>
      <w:r>
        <w:rPr>
          <w:rFonts w:hint="default" w:ascii="Times New Roman" w:hAnsi="Times New Roman" w:cs="Times New Roman"/>
          <w:b/>
          <w:bCs/>
          <w:sz w:val="32"/>
          <w:szCs w:val="32"/>
        </w:rPr>
        <w:t>滨海城市发展区</w:t>
      </w:r>
      <w:r>
        <w:rPr>
          <w:rFonts w:hint="default" w:ascii="Times New Roman" w:hAnsi="Times New Roman" w:cs="Times New Roman"/>
          <w:sz w:val="32"/>
          <w:szCs w:val="32"/>
        </w:rPr>
        <w:t>，以昆鳌一体化为核心，向东向北联动海西、万全，拓展产业平台发展空间，创建省级高新技术园区，重点发展战略性新兴产业。</w:t>
      </w:r>
      <w:r>
        <w:rPr>
          <w:rFonts w:hint="default" w:ascii="Times New Roman" w:hAnsi="Times New Roman" w:cs="Times New Roman"/>
          <w:b/>
          <w:bCs/>
          <w:sz w:val="32"/>
          <w:szCs w:val="32"/>
        </w:rPr>
        <w:t>绿色经济发展区</w:t>
      </w:r>
      <w:r>
        <w:rPr>
          <w:rFonts w:hint="default" w:ascii="Times New Roman" w:hAnsi="Times New Roman" w:cs="Times New Roman"/>
          <w:sz w:val="32"/>
          <w:szCs w:val="32"/>
        </w:rPr>
        <w:t>，结合西部生态休闲产业带建设和美丽乡村建设，以水头镇为核心强化西部乡镇协同发展，有效串联整合绿色生态、红色文化、畲乡民俗、特色农业等资源，大力发展生态休闲产业。</w:t>
      </w:r>
      <w:r>
        <w:rPr>
          <w:rFonts w:hint="default" w:ascii="Times New Roman" w:hAnsi="Times New Roman" w:cs="Times New Roman"/>
          <w:b/>
          <w:bCs/>
          <w:sz w:val="32"/>
          <w:szCs w:val="32"/>
        </w:rPr>
        <w:t>蓝色经济发展区，</w:t>
      </w:r>
      <w:r>
        <w:rPr>
          <w:rFonts w:hint="default" w:ascii="Times New Roman" w:hAnsi="Times New Roman" w:cs="Times New Roman"/>
          <w:sz w:val="32"/>
          <w:szCs w:val="32"/>
        </w:rPr>
        <w:t>围绕西湾生态海岸带建设、南麂岛保护与开发，大力发展海洋旅游、现代渔业、海洋能源等海洋新兴产业。</w:t>
      </w:r>
    </w:p>
    <w:p>
      <w:pPr>
        <w:keepNext w:val="0"/>
        <w:keepLines w:val="0"/>
        <w:pageBreakBefore w:val="0"/>
        <w:widowControl w:val="0"/>
        <w:kinsoku/>
        <w:wordWrap/>
        <w:overflowPunct/>
        <w:topLinePunct w:val="0"/>
        <w:autoSpaceDE/>
        <w:autoSpaceDN/>
        <w:bidi w:val="0"/>
        <w:adjustRightInd/>
        <w:snapToGrid w:val="0"/>
        <w:spacing w:before="157" w:beforeLines="50" w:line="240" w:lineRule="auto"/>
        <w:ind w:left="0" w:firstLine="0" w:firstLineChars="0"/>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4810125" cy="2838450"/>
            <wp:effectExtent l="0" t="0" r="9525" b="0"/>
            <wp:docPr id="48" name="图片 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46"/>
                    <pic:cNvPicPr>
                      <a:picLocks noChangeAspect="true"/>
                    </pic:cNvPicPr>
                  </pic:nvPicPr>
                  <pic:blipFill>
                    <a:blip r:embed="rId15"/>
                    <a:stretch>
                      <a:fillRect/>
                    </a:stretch>
                  </pic:blipFill>
                  <pic:spPr>
                    <a:xfrm>
                      <a:off x="0" y="0"/>
                      <a:ext cx="4810125" cy="2838450"/>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图4-2</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 xml:space="preserve"> 平阳县“三区”规划布局</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bookmarkStart w:id="57" w:name="_Toc35595525"/>
      <w:r>
        <w:rPr>
          <w:rFonts w:hint="default" w:ascii="Times New Roman" w:hAnsi="Times New Roman" w:eastAsia="仿宋_GB2312" w:cs="Times New Roman"/>
          <w:b/>
          <w:bCs/>
          <w:kern w:val="2"/>
          <w:sz w:val="32"/>
          <w:szCs w:val="32"/>
          <w:lang w:val="en-US" w:eastAsia="zh-CN" w:bidi="ar-SA"/>
        </w:rPr>
        <w:t>2</w:t>
      </w:r>
      <w:r>
        <w:rPr>
          <w:rFonts w:hint="eastAsia" w:cs="Times New Roman"/>
          <w:b/>
          <w:bCs/>
          <w:sz w:val="32"/>
          <w:szCs w:val="32"/>
          <w:lang w:val="en-US" w:eastAsia="zh-CN"/>
        </w:rPr>
        <w:t>．</w:t>
      </w:r>
      <w:r>
        <w:rPr>
          <w:rFonts w:hint="default" w:ascii="Times New Roman" w:hAnsi="Times New Roman" w:eastAsia="仿宋_GB2312" w:cs="Times New Roman"/>
          <w:b/>
          <w:bCs/>
          <w:kern w:val="2"/>
          <w:sz w:val="32"/>
          <w:szCs w:val="32"/>
          <w:lang w:val="en-US" w:eastAsia="zh-CN" w:bidi="ar-SA"/>
        </w:rPr>
        <w:t>综合交通通道布局</w:t>
      </w:r>
      <w:bookmarkEnd w:id="57"/>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根据平阳县公路、铁路、水运、航空、管道等运输方式的布局规划，结合平阳在国家、长三角区域以及浙江省的交通区位分析，以北融市区、南连苍南、西引文泰为主要方向，紧扣“一主一副三区”的发展主题，规划平阳形成“两轴一带</w:t>
      </w:r>
      <w:r>
        <w:rPr>
          <w:rFonts w:hint="default" w:ascii="Times New Roman" w:hAnsi="Times New Roman" w:cs="Times New Roman"/>
          <w:b/>
          <w:sz w:val="32"/>
          <w:szCs w:val="32"/>
        </w:rPr>
        <w:t>”</w:t>
      </w:r>
      <w:r>
        <w:rPr>
          <w:rFonts w:hint="default" w:ascii="Times New Roman" w:hAnsi="Times New Roman" w:cs="Times New Roman"/>
          <w:sz w:val="32"/>
          <w:szCs w:val="32"/>
        </w:rPr>
        <w:t>的综合交通通道布局。</w:t>
      </w:r>
    </w:p>
    <w:p>
      <w:pPr>
        <w:keepNext w:val="0"/>
        <w:keepLines w:val="0"/>
        <w:pageBreakBefore w:val="0"/>
        <w:widowControl w:val="0"/>
        <w:kinsoku/>
        <w:wordWrap/>
        <w:overflowPunct/>
        <w:topLinePunct w:val="0"/>
        <w:autoSpaceDE/>
        <w:autoSpaceDN/>
        <w:bidi w:val="0"/>
        <w:adjustRightInd/>
        <w:snapToGrid w:val="0"/>
        <w:spacing w:before="157" w:beforeLines="50" w:line="240" w:lineRule="auto"/>
        <w:ind w:left="0" w:firstLine="0" w:firstLineChars="0"/>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5295900" cy="3514725"/>
            <wp:effectExtent l="0" t="0" r="0" b="9525"/>
            <wp:docPr id="49" name="图片 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47"/>
                    <pic:cNvPicPr>
                      <a:picLocks noChangeAspect="true"/>
                    </pic:cNvPicPr>
                  </pic:nvPicPr>
                  <pic:blipFill>
                    <a:blip r:embed="rId16"/>
                    <a:srcRect l="844" t="14949" r="18401" b="8250"/>
                    <a:stretch>
                      <a:fillRect/>
                    </a:stretch>
                  </pic:blipFill>
                  <pic:spPr>
                    <a:xfrm>
                      <a:off x="0" y="0"/>
                      <a:ext cx="5295900" cy="3514725"/>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napToGrid/>
        <w:spacing w:after="235" w:afterLines="75"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图4-3 </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平阳综合交通通道布局图</w:t>
      </w:r>
    </w:p>
    <w:p>
      <w:pPr>
        <w:keepNext w:val="0"/>
        <w:keepLines w:val="0"/>
        <w:pageBreakBefore w:val="0"/>
        <w:widowControl w:val="0"/>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纵轴区域协同轴：</w:t>
      </w:r>
      <w:r>
        <w:rPr>
          <w:rFonts w:hint="default" w:ascii="Times New Roman" w:hAnsi="Times New Roman" w:cs="Times New Roman"/>
          <w:sz w:val="32"/>
          <w:szCs w:val="32"/>
        </w:rPr>
        <w:t>平阳北接温瑞平原，融入温州都市区，南接龙港、苍南，接轨海西经济区的重要通道，是平阳门户性经济发展轴带，总GDP占全县的76%，覆盖人口占全县总人口的50%，是实现高质量打造温州南部枢纽中心的关键支撑。通道主要由甬台温铁路、甬台温高速、甬台温复线、G104国道、万鳌公路等组成。</w:t>
      </w:r>
    </w:p>
    <w:p>
      <w:pPr>
        <w:keepNext w:val="0"/>
        <w:keepLines w:val="0"/>
        <w:pageBreakBefore w:val="0"/>
        <w:widowControl w:val="0"/>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横轴山海联动轴：</w:t>
      </w:r>
      <w:r>
        <w:rPr>
          <w:rFonts w:hint="default" w:ascii="Times New Roman" w:hAnsi="Times New Roman" w:cs="Times New Roman"/>
          <w:sz w:val="32"/>
          <w:szCs w:val="32"/>
        </w:rPr>
        <w:t>贯穿平阳东、中、西部三大城镇群，是沟通县域东西地区平衡发展的重要发展轴，也是联系平阳港与内陆腹地的重要通道，同时也能够有效加强平阳与浙西地区的联系，提升平阳县西部乡镇对外交通的便捷程度。通道主要由规划合温高速南延、昆水公路、昆宋公路等组成。</w:t>
      </w:r>
    </w:p>
    <w:p>
      <w:pPr>
        <w:keepNext w:val="0"/>
        <w:keepLines w:val="0"/>
        <w:pageBreakBefore w:val="0"/>
        <w:widowControl w:val="0"/>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一带沿江城市发展带：</w:t>
      </w:r>
      <w:r>
        <w:rPr>
          <w:rFonts w:hint="default" w:ascii="Times New Roman" w:hAnsi="Times New Roman" w:cs="Times New Roman"/>
          <w:sz w:val="32"/>
          <w:szCs w:val="32"/>
        </w:rPr>
        <w:t>推进鳌江、萧江、麻步、水头等鳌江流域城镇拥江发展，引导现代服务业集中集聚，打造具有瓯南特色的鳌江北岸景观风貌带，实现城市建设、都市经济、山水生态有机融合。通道内主要有瑞苍高速、S218省道、S219省道、萧江世纪大道等交通道路，串联萧江、水头、腾蛟等乡镇，北联瑞安、南接龙港。</w:t>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表4-1</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平阳综合交通通道资源分配情况分析</w:t>
      </w:r>
    </w:p>
    <w:tbl>
      <w:tblPr>
        <w:tblStyle w:val="16"/>
        <w:tblW w:w="9073" w:type="dxa"/>
        <w:jc w:val="center"/>
        <w:tblLayout w:type="fixed"/>
        <w:tblCellMar>
          <w:top w:w="0" w:type="dxa"/>
          <w:left w:w="0" w:type="dxa"/>
          <w:bottom w:w="0" w:type="dxa"/>
          <w:right w:w="0" w:type="dxa"/>
        </w:tblCellMar>
      </w:tblPr>
      <w:tblGrid>
        <w:gridCol w:w="710"/>
        <w:gridCol w:w="1325"/>
        <w:gridCol w:w="2633"/>
        <w:gridCol w:w="2279"/>
        <w:gridCol w:w="1246"/>
        <w:gridCol w:w="880"/>
      </w:tblGrid>
      <w:tr>
        <w:tblPrEx>
          <w:tblCellMar>
            <w:top w:w="0" w:type="dxa"/>
            <w:left w:w="0" w:type="dxa"/>
            <w:bottom w:w="0" w:type="dxa"/>
            <w:right w:w="0" w:type="dxa"/>
          </w:tblCellMar>
        </w:tblPrEx>
        <w:trPr>
          <w:trHeight w:val="369" w:hRule="atLeast"/>
          <w:jc w:val="center"/>
        </w:trPr>
        <w:tc>
          <w:tcPr>
            <w:tcW w:w="71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2" w:firstLineChars="0"/>
              <w:jc w:val="center"/>
              <w:textAlignment w:val="auto"/>
              <w:rPr>
                <w:rFonts w:hint="default" w:ascii="Times New Roman" w:hAnsi="Times New Roman" w:eastAsia="仿宋_GB2312" w:cs="Times New Roman"/>
                <w:b/>
                <w:bCs/>
                <w:kern w:val="0"/>
                <w:sz w:val="24"/>
                <w:szCs w:val="24"/>
              </w:rPr>
            </w:pPr>
            <w:r>
              <w:rPr>
                <w:rFonts w:hint="default" w:ascii="Times New Roman" w:hAnsi="Times New Roman" w:eastAsia="仿宋_GB2312" w:cs="Times New Roman"/>
                <w:b/>
                <w:bCs/>
                <w:kern w:val="24"/>
                <w:sz w:val="24"/>
                <w:szCs w:val="24"/>
              </w:rPr>
              <w:t> </w:t>
            </w:r>
          </w:p>
        </w:tc>
        <w:tc>
          <w:tcPr>
            <w:tcW w:w="1325"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名称</w:t>
            </w:r>
          </w:p>
        </w:tc>
        <w:tc>
          <w:tcPr>
            <w:tcW w:w="2633"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联系方向</w:t>
            </w: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运输干线</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建设性质</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等级</w:t>
            </w:r>
          </w:p>
        </w:tc>
      </w:tr>
      <w:tr>
        <w:tblPrEx>
          <w:tblCellMar>
            <w:top w:w="0" w:type="dxa"/>
            <w:left w:w="0" w:type="dxa"/>
            <w:bottom w:w="0" w:type="dxa"/>
            <w:right w:w="0" w:type="dxa"/>
          </w:tblCellMar>
        </w:tblPrEx>
        <w:trPr>
          <w:trHeight w:val="369" w:hRule="atLeast"/>
          <w:jc w:val="center"/>
        </w:trPr>
        <w:tc>
          <w:tcPr>
            <w:tcW w:w="710" w:type="dxa"/>
            <w:vMerge w:val="restart"/>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default" w:ascii="Times New Roman" w:hAnsi="Times New Roman" w:eastAsia="仿宋_GB2312" w:cs="Times New Roman"/>
                <w:b/>
                <w:bCs/>
                <w:kern w:val="0"/>
                <w:sz w:val="24"/>
                <w:szCs w:val="24"/>
              </w:rPr>
            </w:pPr>
            <w:r>
              <w:rPr>
                <w:rFonts w:hint="default" w:ascii="Times New Roman" w:hAnsi="Times New Roman" w:eastAsia="仿宋_GB2312" w:cs="Times New Roman"/>
                <w:b/>
                <w:bCs/>
                <w:kern w:val="0"/>
                <w:sz w:val="24"/>
                <w:szCs w:val="24"/>
              </w:rPr>
              <w:t>纵轴</w:t>
            </w:r>
          </w:p>
        </w:tc>
        <w:tc>
          <w:tcPr>
            <w:tcW w:w="1325" w:type="dxa"/>
            <w:vMerge w:val="restart"/>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区域协同轴</w:t>
            </w:r>
          </w:p>
        </w:tc>
        <w:tc>
          <w:tcPr>
            <w:tcW w:w="2633" w:type="dxa"/>
            <w:vMerge w:val="restart"/>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串联万全、昆阳、鳌江等乡镇，为昆鳌一体化及鳌江流域中心城市建设服务，北联瑞安、南接龙港</w:t>
            </w: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甬台温高速复线</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已建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高速</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公路</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甬台温福高铁</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规划</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G228国道</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已建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滨海大道</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已建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甬台温铁路</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已建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甬台温高速</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改建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高速</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公路</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老G104国道</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已建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万全至鳌江公路</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已建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车站大道</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已建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restart"/>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default" w:ascii="Times New Roman" w:hAnsi="Times New Roman" w:eastAsia="仿宋_GB2312" w:cs="Times New Roman"/>
                <w:b/>
                <w:bCs/>
                <w:kern w:val="0"/>
                <w:sz w:val="24"/>
                <w:szCs w:val="24"/>
              </w:rPr>
            </w:pPr>
            <w:r>
              <w:rPr>
                <w:rFonts w:hint="default" w:ascii="Times New Roman" w:hAnsi="Times New Roman" w:eastAsia="仿宋_GB2312" w:cs="Times New Roman"/>
                <w:b/>
                <w:bCs/>
                <w:kern w:val="0"/>
                <w:sz w:val="24"/>
                <w:szCs w:val="24"/>
              </w:rPr>
              <w:t>横轴</w:t>
            </w:r>
          </w:p>
        </w:tc>
        <w:tc>
          <w:tcPr>
            <w:tcW w:w="1325" w:type="dxa"/>
            <w:vMerge w:val="restart"/>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山海联动轴</w:t>
            </w:r>
          </w:p>
        </w:tc>
        <w:tc>
          <w:tcPr>
            <w:tcW w:w="2633" w:type="dxa"/>
            <w:vMerge w:val="restart"/>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沟通文成泰顺至丽水等地，串联水头、鳌江、昆阳、海西等乡镇，强化县域东西部协调发展</w:t>
            </w: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瑞苍高速</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（温州南连高速）</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在建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高速</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公路</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S218安吉至龙港公路</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规划</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昆水公路</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已建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昆宋公路</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已建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G104国道西过境</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已建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港站城大道</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在建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restart"/>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default" w:ascii="Times New Roman" w:hAnsi="Times New Roman" w:eastAsia="仿宋_GB2312" w:cs="Times New Roman"/>
                <w:b/>
                <w:bCs/>
                <w:kern w:val="0"/>
                <w:sz w:val="24"/>
                <w:szCs w:val="24"/>
              </w:rPr>
            </w:pPr>
            <w:r>
              <w:rPr>
                <w:rFonts w:hint="default" w:ascii="Times New Roman" w:hAnsi="Times New Roman" w:eastAsia="仿宋_GB2312" w:cs="Times New Roman"/>
                <w:b/>
                <w:bCs/>
                <w:sz w:val="24"/>
                <w:szCs w:val="24"/>
              </w:rPr>
              <w:t>一带</w:t>
            </w:r>
          </w:p>
        </w:tc>
        <w:tc>
          <w:tcPr>
            <w:tcW w:w="1325" w:type="dxa"/>
            <w:vMerge w:val="restart"/>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沿江城市发展带</w:t>
            </w:r>
          </w:p>
        </w:tc>
        <w:tc>
          <w:tcPr>
            <w:tcW w:w="2633" w:type="dxa"/>
            <w:vMerge w:val="restart"/>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推进鳌江、萧江、麻步、水头等鳌江流域城镇拥江发展</w:t>
            </w: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合温高速南延</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前期</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高速</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公路</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S219临安至苍南公路</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规划</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老57省道复线</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已建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萧江至鳌江快速通道</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在建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bl>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bookmarkStart w:id="58" w:name="_Toc35595526"/>
      <w:r>
        <w:rPr>
          <w:rFonts w:hint="default" w:ascii="Times New Roman" w:hAnsi="Times New Roman" w:eastAsia="仿宋_GB2312" w:cs="Times New Roman"/>
          <w:b/>
          <w:bCs/>
          <w:kern w:val="2"/>
          <w:sz w:val="32"/>
          <w:szCs w:val="32"/>
          <w:lang w:val="en-US" w:eastAsia="zh-CN" w:bidi="ar-SA"/>
        </w:rPr>
        <w:t>3</w:t>
      </w:r>
      <w:r>
        <w:rPr>
          <w:rFonts w:hint="eastAsia" w:cs="Times New Roman"/>
          <w:b/>
          <w:bCs/>
          <w:sz w:val="32"/>
          <w:szCs w:val="32"/>
          <w:lang w:val="en-US" w:eastAsia="zh-CN"/>
        </w:rPr>
        <w:t>．</w:t>
      </w:r>
      <w:r>
        <w:rPr>
          <w:rFonts w:hint="default" w:ascii="Times New Roman" w:hAnsi="Times New Roman" w:eastAsia="仿宋_GB2312" w:cs="Times New Roman"/>
          <w:b/>
          <w:bCs/>
          <w:kern w:val="2"/>
          <w:sz w:val="32"/>
          <w:szCs w:val="32"/>
          <w:lang w:val="en-US" w:eastAsia="zh-CN" w:bidi="ar-SA"/>
        </w:rPr>
        <w:t>综合交通枢纽布局</w:t>
      </w:r>
      <w:bookmarkEnd w:id="58"/>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（1）综合客运枢纽布局</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综合客运枢纽是多种运输方式在同一空间（或区域）内集中布设，实现客流转换有机衔接，或一体化客运服务系统完备高效，具备区域辐射功能的客运基础设施。</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综合客运枢纽是锚固多种交通方式的基础，是实现客运零距离换乘和一体化服务的核心，在城市内外交通以及城市内部交通的联系中起着非常关键的作用，功能完善、级配合理、分布有序的综合客运枢纽体系是市域综合交通体系必不可少的支柱。</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规划形成</w:t>
      </w:r>
      <w:r>
        <w:rPr>
          <w:rFonts w:hint="default" w:ascii="Times New Roman" w:hAnsi="Times New Roman" w:cs="Times New Roman"/>
          <w:b/>
          <w:bCs/>
          <w:sz w:val="32"/>
          <w:szCs w:val="32"/>
        </w:rPr>
        <w:t>“一主、五副、多点”</w:t>
      </w:r>
      <w:r>
        <w:rPr>
          <w:rFonts w:hint="default" w:ascii="Times New Roman" w:hAnsi="Times New Roman" w:cs="Times New Roman"/>
          <w:sz w:val="32"/>
          <w:szCs w:val="32"/>
        </w:rPr>
        <w:t>的综合客运枢纽布局形态：平阳境内无区域枢纽，规划“一主、五副、多点”的综合客运枢纽布局 ，服务城际交通出行及各种交通方式转换。</w:t>
      </w:r>
    </w:p>
    <w:p>
      <w:pPr>
        <w:pStyle w:val="20"/>
        <w:keepNext w:val="0"/>
        <w:keepLines w:val="0"/>
        <w:pageBreakBefore w:val="0"/>
        <w:widowControl w:val="0"/>
        <w:numPr>
          <w:ilvl w:val="0"/>
          <w:numId w:val="3"/>
        </w:numPr>
        <w:kinsoku/>
        <w:wordWrap/>
        <w:overflowPunct/>
        <w:topLinePunct w:val="0"/>
        <w:autoSpaceDE/>
        <w:autoSpaceDN/>
        <w:bidi w:val="0"/>
        <w:adjustRightInd/>
        <w:spacing w:line="560" w:lineRule="exact"/>
        <w:ind w:left="0" w:firstLine="640" w:firstLineChars="20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“一主”：高铁平阳站；</w:t>
      </w:r>
    </w:p>
    <w:p>
      <w:pPr>
        <w:pStyle w:val="20"/>
        <w:keepNext w:val="0"/>
        <w:keepLines w:val="0"/>
        <w:pageBreakBefore w:val="0"/>
        <w:widowControl w:val="0"/>
        <w:numPr>
          <w:ilvl w:val="0"/>
          <w:numId w:val="3"/>
        </w:numPr>
        <w:kinsoku/>
        <w:wordWrap/>
        <w:overflowPunct/>
        <w:topLinePunct w:val="0"/>
        <w:autoSpaceDE/>
        <w:autoSpaceDN/>
        <w:bidi w:val="0"/>
        <w:adjustRightInd/>
        <w:spacing w:line="560" w:lineRule="exact"/>
        <w:ind w:left="0" w:firstLine="640" w:firstLineChars="20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“五副”： 温州鳌江流域副中心交通枢纽、万全客运枢纽、昆阳客运枢纽、水头客运枢纽、萧江客运枢纽；</w:t>
      </w:r>
    </w:p>
    <w:p>
      <w:pPr>
        <w:pStyle w:val="20"/>
        <w:keepNext w:val="0"/>
        <w:keepLines w:val="0"/>
        <w:pageBreakBefore w:val="0"/>
        <w:widowControl w:val="0"/>
        <w:numPr>
          <w:ilvl w:val="0"/>
          <w:numId w:val="3"/>
        </w:numPr>
        <w:kinsoku/>
        <w:wordWrap/>
        <w:overflowPunct/>
        <w:topLinePunct w:val="0"/>
        <w:autoSpaceDE/>
        <w:autoSpaceDN/>
        <w:bidi w:val="0"/>
        <w:adjustRightInd/>
        <w:spacing w:line="560" w:lineRule="exact"/>
        <w:ind w:left="0" w:firstLine="640" w:firstLineChars="20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“多点”：滨海新区客运站、凤卧客运站、山门客运站、南雁客运站、湖岭客运站等其它乡镇客运站。</w:t>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jc w:val="center"/>
        <w:textAlignment w:val="auto"/>
        <w:rPr>
          <w:rFonts w:hint="default" w:ascii="Times New Roman" w:hAnsi="Times New Roman" w:eastAsia="仿宋_GB2312" w:cs="Times New Roman"/>
          <w:b/>
          <w:bCs/>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表4-2  平阳县综合客运枢纽交通方式衔接</w:t>
      </w:r>
    </w:p>
    <w:tbl>
      <w:tblPr>
        <w:tblStyle w:val="16"/>
        <w:tblW w:w="8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2205"/>
        <w:gridCol w:w="4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b/>
                <w:bCs/>
                <w:kern w:val="24"/>
                <w:sz w:val="24"/>
                <w:szCs w:val="24"/>
              </w:rPr>
              <w:t>枢纽名称</w:t>
            </w:r>
          </w:p>
        </w:tc>
        <w:tc>
          <w:tcPr>
            <w:tcW w:w="7073"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b/>
                <w:bCs/>
                <w:kern w:val="24"/>
                <w:sz w:val="24"/>
                <w:szCs w:val="24"/>
              </w:rPr>
              <w:t>衔接交通方式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p>
        </w:tc>
        <w:tc>
          <w:tcPr>
            <w:tcW w:w="220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b/>
                <w:bCs/>
                <w:kern w:val="24"/>
                <w:sz w:val="24"/>
                <w:szCs w:val="24"/>
              </w:rPr>
              <w:t>对外</w:t>
            </w:r>
          </w:p>
        </w:tc>
        <w:tc>
          <w:tcPr>
            <w:tcW w:w="486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b/>
                <w:bCs/>
                <w:kern w:val="24"/>
                <w:sz w:val="24"/>
                <w:szCs w:val="24"/>
              </w:rPr>
              <w:t>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24"/>
                <w:sz w:val="24"/>
                <w:szCs w:val="24"/>
              </w:rPr>
              <w:t>高铁平阳站</w:t>
            </w:r>
          </w:p>
        </w:tc>
        <w:tc>
          <w:tcPr>
            <w:tcW w:w="220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28"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24"/>
                <w:sz w:val="24"/>
                <w:szCs w:val="24"/>
              </w:rPr>
              <w:t>高速铁路、市域轨道、长途客运</w:t>
            </w:r>
          </w:p>
        </w:tc>
        <w:tc>
          <w:tcPr>
            <w:tcW w:w="486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w w:val="85"/>
                <w:kern w:val="24"/>
                <w:sz w:val="24"/>
                <w:szCs w:val="24"/>
              </w:rPr>
              <w:t>社会车、中运量公交、常规公交、出租车、非机动车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16" w:lineRule="auto"/>
              <w:ind w:left="0" w:right="0" w:firstLine="0" w:firstLineChars="0"/>
              <w:jc w:val="center"/>
              <w:textAlignment w:val="auto"/>
              <w:rPr>
                <w:rFonts w:hint="default" w:ascii="Times New Roman" w:hAnsi="Times New Roman" w:eastAsia="仿宋_GB2312" w:cs="Times New Roman"/>
                <w:kern w:val="24"/>
                <w:sz w:val="24"/>
                <w:szCs w:val="24"/>
              </w:rPr>
            </w:pPr>
            <w:r>
              <w:rPr>
                <w:rFonts w:hint="default" w:ascii="Times New Roman" w:hAnsi="Times New Roman" w:eastAsia="仿宋_GB2312" w:cs="Times New Roman"/>
                <w:sz w:val="24"/>
                <w:szCs w:val="24"/>
              </w:rPr>
              <w:t>温州鳌江流域副中心交通枢纽</w:t>
            </w:r>
          </w:p>
        </w:tc>
        <w:tc>
          <w:tcPr>
            <w:tcW w:w="220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24"/>
                <w:sz w:val="24"/>
                <w:szCs w:val="24"/>
              </w:rPr>
            </w:pPr>
            <w:r>
              <w:rPr>
                <w:rFonts w:hint="default" w:ascii="Times New Roman" w:hAnsi="Times New Roman" w:eastAsia="仿宋_GB2312" w:cs="Times New Roman"/>
                <w:kern w:val="24"/>
                <w:sz w:val="24"/>
                <w:szCs w:val="24"/>
              </w:rPr>
              <w:t>市域轨道</w:t>
            </w:r>
          </w:p>
        </w:tc>
        <w:tc>
          <w:tcPr>
            <w:tcW w:w="486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24"/>
                <w:sz w:val="24"/>
                <w:szCs w:val="24"/>
              </w:rPr>
            </w:pPr>
            <w:r>
              <w:rPr>
                <w:rFonts w:hint="default" w:ascii="Times New Roman" w:hAnsi="Times New Roman" w:eastAsia="仿宋_GB2312" w:cs="Times New Roman"/>
                <w:kern w:val="24"/>
                <w:sz w:val="24"/>
                <w:szCs w:val="24"/>
              </w:rPr>
              <w:t>社会车、常规公交、出租车、非机动车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万全客运枢纽</w:t>
            </w:r>
          </w:p>
        </w:tc>
        <w:tc>
          <w:tcPr>
            <w:tcW w:w="220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24"/>
                <w:sz w:val="24"/>
                <w:szCs w:val="24"/>
              </w:rPr>
              <w:t>市域轨道</w:t>
            </w:r>
          </w:p>
        </w:tc>
        <w:tc>
          <w:tcPr>
            <w:tcW w:w="486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24"/>
                <w:sz w:val="24"/>
                <w:szCs w:val="24"/>
              </w:rPr>
              <w:t>社会车、城市城乡公交、出租车、非机动车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昆阳客运枢纽</w:t>
            </w:r>
          </w:p>
        </w:tc>
        <w:tc>
          <w:tcPr>
            <w:tcW w:w="220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24"/>
                <w:sz w:val="24"/>
                <w:szCs w:val="24"/>
              </w:rPr>
              <w:t>市域轨道</w:t>
            </w:r>
          </w:p>
        </w:tc>
        <w:tc>
          <w:tcPr>
            <w:tcW w:w="486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w w:val="85"/>
                <w:kern w:val="24"/>
                <w:sz w:val="24"/>
                <w:szCs w:val="24"/>
              </w:rPr>
              <w:t>社会车、中运量公交、常规公交、出租车、非机动车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水头客运枢纽</w:t>
            </w:r>
          </w:p>
        </w:tc>
        <w:tc>
          <w:tcPr>
            <w:tcW w:w="220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24"/>
                <w:sz w:val="24"/>
                <w:szCs w:val="24"/>
              </w:rPr>
              <w:t>--</w:t>
            </w:r>
          </w:p>
        </w:tc>
        <w:tc>
          <w:tcPr>
            <w:tcW w:w="486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24"/>
                <w:sz w:val="24"/>
                <w:szCs w:val="24"/>
              </w:rPr>
              <w:t>社会车、城乡公交、出租车、非机动车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萧江客运枢纽</w:t>
            </w:r>
          </w:p>
        </w:tc>
        <w:tc>
          <w:tcPr>
            <w:tcW w:w="220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24"/>
                <w:sz w:val="24"/>
                <w:szCs w:val="24"/>
              </w:rPr>
              <w:t>--</w:t>
            </w:r>
          </w:p>
        </w:tc>
        <w:tc>
          <w:tcPr>
            <w:tcW w:w="486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24"/>
                <w:sz w:val="24"/>
                <w:szCs w:val="24"/>
              </w:rPr>
              <w:t>社会车、常规公交、出租车、非机动车</w:t>
            </w:r>
          </w:p>
        </w:tc>
      </w:tr>
    </w:tbl>
    <w:p>
      <w:pPr>
        <w:keepNext w:val="0"/>
        <w:keepLines w:val="0"/>
        <w:pageBreakBefore w:val="0"/>
        <w:widowControl w:val="0"/>
        <w:kinsoku/>
        <w:wordWrap/>
        <w:overflowPunct/>
        <w:topLinePunct w:val="0"/>
        <w:autoSpaceDE/>
        <w:autoSpaceDN/>
        <w:bidi w:val="0"/>
        <w:ind w:firstLine="0" w:firstLineChars="0"/>
        <w:jc w:val="center"/>
        <w:rPr>
          <w:rFonts w:hint="default" w:ascii="Times New Roman" w:hAnsi="Times New Roman" w:cs="Times New Roman"/>
          <w:szCs w:val="28"/>
        </w:rPr>
      </w:pPr>
      <w:r>
        <w:rPr>
          <w:rFonts w:hint="default" w:ascii="Times New Roman" w:hAnsi="Times New Roman" w:cs="Times New Roman"/>
        </w:rPr>
        <w:drawing>
          <wp:inline distT="0" distB="0" distL="114300" distR="114300">
            <wp:extent cx="4886325" cy="3314700"/>
            <wp:effectExtent l="0" t="0" r="9525" b="0"/>
            <wp:docPr id="51" name="图片 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48"/>
                    <pic:cNvPicPr>
                      <a:picLocks noChangeAspect="true"/>
                    </pic:cNvPicPr>
                  </pic:nvPicPr>
                  <pic:blipFill>
                    <a:blip r:embed="rId17"/>
                    <a:stretch>
                      <a:fillRect/>
                    </a:stretch>
                  </pic:blipFill>
                  <pic:spPr>
                    <a:xfrm>
                      <a:off x="0" y="0"/>
                      <a:ext cx="4886325" cy="3314700"/>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图4-4 平阳综合客运枢纽布局图</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（2）综合货运枢纽布局</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综合货运枢纽是具有货物集散、仓储、中转运输等功能，实现不同运输方式之间的货物有效换装与衔接，并具备完备信息系统的货运作业与服务场所。</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综合货运枢纽是各种货运方式有效衔接的实体形式，是组织跨方式、跨线路协调运营、联合运输的重要载体，是综合立体交通网络的关键组成部分，是提高货物运输效率的有力支撑。</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按照整合设施存量、合理配置增量原则，构建“区域综合物流园区-片区物流中心-城镇末端配送网点”规划形成</w:t>
      </w:r>
      <w:r>
        <w:rPr>
          <w:rFonts w:hint="default" w:ascii="Times New Roman" w:hAnsi="Times New Roman" w:cs="Times New Roman"/>
          <w:b/>
          <w:bCs/>
          <w:sz w:val="32"/>
          <w:szCs w:val="32"/>
        </w:rPr>
        <w:t>“1+4+N”</w:t>
      </w:r>
      <w:r>
        <w:rPr>
          <w:rFonts w:hint="default" w:ascii="Times New Roman" w:hAnsi="Times New Roman" w:cs="Times New Roman"/>
          <w:sz w:val="32"/>
          <w:szCs w:val="32"/>
        </w:rPr>
        <w:t>的县域货运枢纽布局。高标准建设滨海综合物流园，为平阳物流发展提供一体化枢纽功能。加快根据平阳县块状经济特色兼顾城镇发展需求建设四大片区物流中心，提供集货、送货、转运、加工、配送等功能。完善乡镇配送网络体系，优化末端配送网络，建设综合性乡镇配送中心，打通城乡配送“最后一百米”。</w:t>
      </w:r>
    </w:p>
    <w:p>
      <w:pPr>
        <w:pStyle w:val="20"/>
        <w:keepNext w:val="0"/>
        <w:keepLines w:val="0"/>
        <w:pageBreakBefore w:val="0"/>
        <w:widowControl w:val="0"/>
        <w:numPr>
          <w:ilvl w:val="0"/>
          <w:numId w:val="4"/>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 xml:space="preserve">“一主”：滨海综合物流园区； </w:t>
      </w:r>
    </w:p>
    <w:p>
      <w:pPr>
        <w:pStyle w:val="20"/>
        <w:keepNext w:val="0"/>
        <w:keepLines w:val="0"/>
        <w:pageBreakBefore w:val="0"/>
        <w:widowControl w:val="0"/>
        <w:numPr>
          <w:ilvl w:val="0"/>
          <w:numId w:val="4"/>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“四副”：鳌江物流中心、万全物流中心、萧麻物流中心、水头物流中心；</w:t>
      </w:r>
    </w:p>
    <w:p>
      <w:pPr>
        <w:pStyle w:val="20"/>
        <w:keepNext w:val="0"/>
        <w:keepLines w:val="0"/>
        <w:pageBreakBefore w:val="0"/>
        <w:widowControl w:val="0"/>
        <w:numPr>
          <w:ilvl w:val="0"/>
          <w:numId w:val="4"/>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“多点”：腾蛟、顺溪、山门等地建设多个城乡物流末端配送中心，提供乡镇、村庄消费品以及农产品、农资集散功能。</w:t>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表4-3</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货运枢纽功能定位</w:t>
      </w:r>
    </w:p>
    <w:tbl>
      <w:tblPr>
        <w:tblStyle w:val="16"/>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2"/>
        <w:gridCol w:w="5323"/>
        <w:gridCol w:w="1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97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货运枢纽</w:t>
            </w:r>
          </w:p>
        </w:tc>
        <w:tc>
          <w:tcPr>
            <w:tcW w:w="53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功能定位</w:t>
            </w:r>
          </w:p>
        </w:tc>
        <w:tc>
          <w:tcPr>
            <w:tcW w:w="16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面积（亩）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197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滨海综合物流基地</w:t>
            </w:r>
          </w:p>
        </w:tc>
        <w:tc>
          <w:tcPr>
            <w:tcW w:w="53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结合滨海新区智能制造产业集群建设，打造辐射浙南地区的滨海综合物流园，包括中转集运（联运）、仓储配送、流通加工、综合服务和后勤配套等五大主要功能。</w:t>
            </w:r>
          </w:p>
        </w:tc>
        <w:tc>
          <w:tcPr>
            <w:tcW w:w="16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97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鳌江物流中心</w:t>
            </w:r>
          </w:p>
        </w:tc>
        <w:tc>
          <w:tcPr>
            <w:tcW w:w="53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辐射鳌江、龙港、苍南，主要为区域内的工业和商贸提供物流服务，面向印刷包装、服装、商务礼品、日常百货等产业开展仓储、配载、配送、流通加工等服务。</w:t>
            </w:r>
          </w:p>
        </w:tc>
        <w:tc>
          <w:tcPr>
            <w:tcW w:w="16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6" w:hRule="atLeast"/>
          <w:jc w:val="center"/>
        </w:trPr>
        <w:tc>
          <w:tcPr>
            <w:tcW w:w="197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万全物流中心</w:t>
            </w:r>
          </w:p>
        </w:tc>
        <w:tc>
          <w:tcPr>
            <w:tcW w:w="53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辐射万全、昆阳、瑞安等主要区域工业发展提供物流支持，联动滨海综合物流园探索开展库存管理、运输分拨、采购供应等供应链物流服务，同时物流中心还将为昆阳的城市生活提供商贸配送物流服务。</w:t>
            </w:r>
          </w:p>
        </w:tc>
        <w:tc>
          <w:tcPr>
            <w:tcW w:w="16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97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萧麻物流中心</w:t>
            </w:r>
          </w:p>
        </w:tc>
        <w:tc>
          <w:tcPr>
            <w:tcW w:w="53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辐射萧江、麻步，以区域内工业企业为主要服务对象，为塑编塑包等产业提供物流服务，重点为油墨、塑料原材料等危化品提供专业物流和仓储，形成制造业与物流联动发展</w:t>
            </w:r>
          </w:p>
        </w:tc>
        <w:tc>
          <w:tcPr>
            <w:tcW w:w="16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197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水头物流中心</w:t>
            </w:r>
          </w:p>
        </w:tc>
        <w:tc>
          <w:tcPr>
            <w:tcW w:w="53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辐射平阳西部片区，为水头宠物用品等提供电商物流服务，同时建设冷库等冷链物流设备，主要为西部片区提供生活物资配送服务，提供冷链物流、农产品增值加工，网络配送等物流服务。</w:t>
            </w:r>
          </w:p>
        </w:tc>
        <w:tc>
          <w:tcPr>
            <w:tcW w:w="16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197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钱仓物流节点、麻步物流节点、山门物流节点等多点</w:t>
            </w:r>
          </w:p>
        </w:tc>
        <w:tc>
          <w:tcPr>
            <w:tcW w:w="53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城镇物流节点和乡村配送点，主要承担物流中心和配送站服务盲区的集货和配送功能。</w:t>
            </w:r>
          </w:p>
        </w:tc>
        <w:tc>
          <w:tcPr>
            <w:tcW w:w="16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w:t>
            </w:r>
          </w:p>
        </w:tc>
      </w:tr>
    </w:tbl>
    <w:p>
      <w:pPr>
        <w:keepNext w:val="0"/>
        <w:keepLines w:val="0"/>
        <w:pageBreakBefore w:val="0"/>
        <w:widowControl w:val="0"/>
        <w:kinsoku/>
        <w:wordWrap/>
        <w:overflowPunct/>
        <w:topLinePunct w:val="0"/>
        <w:autoSpaceDE/>
        <w:autoSpaceDN/>
        <w:bidi w:val="0"/>
        <w:ind w:firstLine="0" w:firstLineChars="0"/>
        <w:jc w:val="center"/>
        <w:rPr>
          <w:rFonts w:hint="default" w:ascii="Times New Roman" w:hAnsi="Times New Roman" w:cs="Times New Roman"/>
          <w:szCs w:val="28"/>
        </w:rPr>
      </w:pPr>
      <w:r>
        <w:rPr>
          <w:rFonts w:hint="default" w:ascii="Times New Roman" w:hAnsi="Times New Roman" w:cs="Times New Roman"/>
        </w:rPr>
        <w:drawing>
          <wp:inline distT="0" distB="0" distL="114300" distR="114300">
            <wp:extent cx="5324475" cy="3543300"/>
            <wp:effectExtent l="0" t="0" r="9525" b="0"/>
            <wp:docPr id="50" name="图片 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true"/>
                    </pic:cNvPicPr>
                  </pic:nvPicPr>
                  <pic:blipFill>
                    <a:blip r:embed="rId18"/>
                    <a:srcRect l="1482" t="14528" r="19308" b="9312"/>
                    <a:stretch>
                      <a:fillRect/>
                    </a:stretch>
                  </pic:blipFill>
                  <pic:spPr>
                    <a:xfrm>
                      <a:off x="0" y="0"/>
                      <a:ext cx="5324475" cy="3543300"/>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图4-5 平阳综合货运枢纽布局图</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bookmarkStart w:id="59" w:name="_Toc35595527"/>
      <w:r>
        <w:rPr>
          <w:rFonts w:hint="default" w:ascii="Times New Roman" w:hAnsi="Times New Roman" w:eastAsia="仿宋_GB2312" w:cs="Times New Roman"/>
          <w:b/>
          <w:bCs/>
          <w:kern w:val="2"/>
          <w:sz w:val="32"/>
          <w:szCs w:val="32"/>
          <w:lang w:val="en-US" w:eastAsia="zh-CN" w:bidi="ar-SA"/>
        </w:rPr>
        <w:t>4</w:t>
      </w:r>
      <w:r>
        <w:rPr>
          <w:rFonts w:hint="eastAsia" w:cs="Times New Roman"/>
          <w:b/>
          <w:bCs/>
          <w:sz w:val="32"/>
          <w:szCs w:val="32"/>
          <w:lang w:val="en-US" w:eastAsia="zh-CN"/>
        </w:rPr>
        <w:t>．</w:t>
      </w:r>
      <w:r>
        <w:rPr>
          <w:rFonts w:hint="default" w:ascii="Times New Roman" w:hAnsi="Times New Roman" w:eastAsia="仿宋_GB2312" w:cs="Times New Roman"/>
          <w:b/>
          <w:bCs/>
          <w:kern w:val="2"/>
          <w:sz w:val="32"/>
          <w:szCs w:val="32"/>
          <w:lang w:val="en-US" w:eastAsia="zh-CN" w:bidi="ar-SA"/>
        </w:rPr>
        <w:t>综合交通网络布局</w:t>
      </w:r>
      <w:bookmarkEnd w:id="59"/>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 w:cs="Times New Roman"/>
          <w:sz w:val="32"/>
          <w:szCs w:val="32"/>
        </w:rPr>
      </w:pPr>
      <w:r>
        <w:rPr>
          <w:rFonts w:hint="default" w:ascii="Times New Roman" w:hAnsi="Times New Roman" w:cs="Times New Roman"/>
          <w:sz w:val="32"/>
          <w:szCs w:val="32"/>
        </w:rPr>
        <w:t>规划形成</w:t>
      </w:r>
      <w:r>
        <w:rPr>
          <w:rFonts w:hint="default" w:ascii="Times New Roman" w:hAnsi="Times New Roman" w:eastAsia="仿宋" w:cs="Times New Roman"/>
          <w:sz w:val="32"/>
          <w:szCs w:val="32"/>
        </w:rPr>
        <w:t>对外骨干网</w:t>
      </w:r>
      <w:r>
        <w:rPr>
          <w:rFonts w:hint="default" w:ascii="Times New Roman" w:hAnsi="Times New Roman" w:cs="Times New Roman"/>
          <w:sz w:val="32"/>
          <w:szCs w:val="32"/>
        </w:rPr>
        <w:t>、</w:t>
      </w:r>
      <w:r>
        <w:rPr>
          <w:rFonts w:hint="default" w:ascii="Times New Roman" w:hAnsi="Times New Roman" w:eastAsia="仿宋" w:cs="Times New Roman"/>
          <w:sz w:val="32"/>
          <w:szCs w:val="32"/>
        </w:rPr>
        <w:t>一体化快速网</w:t>
      </w:r>
      <w:r>
        <w:rPr>
          <w:rFonts w:hint="default" w:ascii="Times New Roman" w:hAnsi="Times New Roman" w:cs="Times New Roman"/>
          <w:sz w:val="32"/>
          <w:szCs w:val="32"/>
        </w:rPr>
        <w:t>、</w:t>
      </w:r>
      <w:r>
        <w:rPr>
          <w:rFonts w:hint="default" w:ascii="Times New Roman" w:hAnsi="Times New Roman" w:eastAsia="仿宋" w:cs="Times New Roman"/>
          <w:sz w:val="32"/>
          <w:szCs w:val="32"/>
        </w:rPr>
        <w:t>基础服务网</w:t>
      </w:r>
      <w:r>
        <w:rPr>
          <w:rFonts w:hint="default" w:ascii="Times New Roman" w:hAnsi="Times New Roman" w:eastAsia="仿宋" w:cs="Times New Roman"/>
          <w:b/>
          <w:bCs/>
          <w:sz w:val="32"/>
          <w:szCs w:val="32"/>
        </w:rPr>
        <w:t>“三张网”</w:t>
      </w:r>
      <w:r>
        <w:rPr>
          <w:rFonts w:hint="default" w:ascii="Times New Roman" w:hAnsi="Times New Roman" w:eastAsia="仿宋" w:cs="Times New Roman"/>
          <w:sz w:val="32"/>
          <w:szCs w:val="32"/>
        </w:rPr>
        <w:t>,并在此基础上打造县域普通干线公路网布局。</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（3）对外骨干网</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高速铁路、普速铁路、高速公路共同构成对外骨干网，提供高品质、快速度交通运输服务，是平阳实现区域对外快速联系的主要交通依托，是现代化综合交通网的骨干网络。</w:t>
      </w:r>
    </w:p>
    <w:p>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5229225" cy="3533775"/>
            <wp:effectExtent l="0" t="0" r="9525" b="9525"/>
            <wp:docPr id="53" name="图片 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50"/>
                    <pic:cNvPicPr>
                      <a:picLocks noChangeAspect="true"/>
                    </pic:cNvPicPr>
                  </pic:nvPicPr>
                  <pic:blipFill>
                    <a:blip r:embed="rId19"/>
                    <a:stretch>
                      <a:fillRect/>
                    </a:stretch>
                  </pic:blipFill>
                  <pic:spPr>
                    <a:xfrm>
                      <a:off x="0" y="0"/>
                      <a:ext cx="5229225" cy="3533775"/>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图4-6 </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平阳对外骨干网布局图</w:t>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p>
    <w:p>
      <w:pPr>
        <w:pStyle w:val="8"/>
        <w:keepNext w:val="0"/>
        <w:keepLines w:val="0"/>
        <w:pageBreakBefore w:val="0"/>
        <w:widowControl w:val="0"/>
        <w:numPr>
          <w:ilvl w:val="0"/>
          <w:numId w:val="5"/>
        </w:numPr>
        <w:kinsoku/>
        <w:wordWrap/>
        <w:overflowPunct/>
        <w:topLinePunct w:val="0"/>
        <w:autoSpaceDE/>
        <w:autoSpaceDN/>
        <w:bidi w:val="0"/>
        <w:adjustRightInd/>
        <w:snapToGrid w:val="0"/>
        <w:spacing w:before="0" w:after="0" w:line="560" w:lineRule="exact"/>
        <w:ind w:left="0" w:firstLine="960" w:firstLineChars="3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高速铁路和普速铁路布局</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高速铁路是现代综合立体交通网的核心骨架，主要承担跨区域的中长距离快速客流运输，构建平阳融入长三角城市群、对接海西经济区多向陆路快速通道，服务宏观战略和区域城镇格局优化。</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普速铁路是大宗货物运输的主要干线和运输结构转型升级的重要依托。以发展集装箱运输和水铁联运为突破口，有效增强陆路货运能力。</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规划形成</w:t>
      </w:r>
      <w:r>
        <w:rPr>
          <w:rFonts w:hint="default" w:ascii="Times New Roman" w:hAnsi="Times New Roman" w:cs="Times New Roman"/>
          <w:b/>
          <w:bCs/>
          <w:sz w:val="32"/>
          <w:szCs w:val="32"/>
        </w:rPr>
        <w:t>“Y” 字型</w:t>
      </w:r>
      <w:r>
        <w:rPr>
          <w:rFonts w:hint="default" w:ascii="Times New Roman" w:hAnsi="Times New Roman" w:cs="Times New Roman"/>
          <w:sz w:val="32"/>
          <w:szCs w:val="32"/>
        </w:rPr>
        <w:t>的布局形态，两条铁路分别为甬台温铁路和甬台温高铁。</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jc w:val="center"/>
        <w:textAlignment w:val="auto"/>
        <w:rPr>
          <w:rFonts w:hint="default" w:ascii="Times New Roman" w:hAnsi="Times New Roman" w:cs="Times New Roman"/>
          <w:sz w:val="32"/>
          <w:szCs w:val="32"/>
        </w:rPr>
      </w:pPr>
    </w:p>
    <w:p>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5172075" cy="3524250"/>
            <wp:effectExtent l="0" t="0" r="9525" b="0"/>
            <wp:docPr id="54" name="图片 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51"/>
                    <pic:cNvPicPr>
                      <a:picLocks noChangeAspect="true"/>
                    </pic:cNvPicPr>
                  </pic:nvPicPr>
                  <pic:blipFill>
                    <a:blip r:embed="rId20"/>
                    <a:srcRect l="1266" t="13460" r="19019" b="7922"/>
                    <a:stretch>
                      <a:fillRect/>
                    </a:stretch>
                  </pic:blipFill>
                  <pic:spPr>
                    <a:xfrm>
                      <a:off x="0" y="0"/>
                      <a:ext cx="5172075" cy="3524250"/>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图4-7 </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平阳铁路及轨道交通规划布局图</w:t>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p>
    <w:p>
      <w:pPr>
        <w:pStyle w:val="8"/>
        <w:keepNext w:val="0"/>
        <w:keepLines w:val="0"/>
        <w:pageBreakBefore w:val="0"/>
        <w:widowControl w:val="0"/>
        <w:numPr>
          <w:ilvl w:val="0"/>
          <w:numId w:val="5"/>
        </w:numPr>
        <w:kinsoku/>
        <w:wordWrap/>
        <w:overflowPunct/>
        <w:topLinePunct w:val="0"/>
        <w:autoSpaceDE/>
        <w:autoSpaceDN/>
        <w:bidi w:val="0"/>
        <w:adjustRightInd/>
        <w:snapToGrid w:val="0"/>
        <w:spacing w:before="0" w:after="0" w:line="560" w:lineRule="exact"/>
        <w:ind w:left="0" w:firstLine="960" w:firstLineChars="3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高速公路布局</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高速公路是区域陆路快速客货运输的主体，综合交通枢纽快速集疏运体系的重要组成和市域对外骨干网的主骨架。从存量挖潜、新增优质增量与网络衔接入手，强化对主要乡镇、产业园区、重要景区等的覆盖支撑。</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规划形成</w:t>
      </w:r>
      <w:r>
        <w:rPr>
          <w:rFonts w:hint="default" w:ascii="Times New Roman" w:hAnsi="Times New Roman" w:cs="Times New Roman"/>
          <w:b/>
          <w:bCs/>
          <w:sz w:val="32"/>
          <w:szCs w:val="32"/>
        </w:rPr>
        <w:t>“三纵、两横</w:t>
      </w:r>
      <w:r>
        <w:rPr>
          <w:rFonts w:hint="default" w:ascii="Times New Roman" w:hAnsi="Times New Roman" w:cs="Times New Roman"/>
          <w:sz w:val="32"/>
          <w:szCs w:val="32"/>
        </w:rPr>
        <w:t>”的布局形态：</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“三纵”：温州绕城高速、瑞苍高速、合温高速南延；</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“两横”：甬台温高速、甬台温复线。</w:t>
      </w:r>
    </w:p>
    <w:p>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5334000" cy="3543300"/>
            <wp:effectExtent l="0" t="0" r="0" b="0"/>
            <wp:docPr id="55" name="图片 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52"/>
                    <pic:cNvPicPr>
                      <a:picLocks noChangeAspect="true"/>
                    </pic:cNvPicPr>
                  </pic:nvPicPr>
                  <pic:blipFill>
                    <a:blip r:embed="rId21"/>
                    <a:stretch>
                      <a:fillRect/>
                    </a:stretch>
                  </pic:blipFill>
                  <pic:spPr>
                    <a:xfrm>
                      <a:off x="0" y="0"/>
                      <a:ext cx="5334000" cy="3543300"/>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图4-8</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 xml:space="preserve"> 平阳高速公路规划布局图</w:t>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（4）一体化快速网</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县域轨道、普通国省道、港口、航道共同构成运行效率高、服务能力强的一体化快速网络，是平阳实现与周边城市联系、支撑县域空间结构发展、实现县域内各主要功能节点间互联互通，打造县域半小时快捷交通圈的主要交通依托。</w:t>
      </w:r>
    </w:p>
    <w:p>
      <w:pPr>
        <w:pStyle w:val="8"/>
        <w:keepNext w:val="0"/>
        <w:keepLines w:val="0"/>
        <w:pageBreakBefore w:val="0"/>
        <w:widowControl w:val="0"/>
        <w:numPr>
          <w:ilvl w:val="0"/>
          <w:numId w:val="6"/>
        </w:numPr>
        <w:kinsoku/>
        <w:wordWrap/>
        <w:overflowPunct/>
        <w:topLinePunct w:val="0"/>
        <w:autoSpaceDE/>
        <w:autoSpaceDN/>
        <w:bidi w:val="0"/>
        <w:adjustRightInd/>
        <w:snapToGrid w:val="0"/>
        <w:spacing w:before="0" w:after="0" w:line="560" w:lineRule="exact"/>
        <w:ind w:left="0" w:firstLine="960" w:firstLineChars="3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县域轨道布局</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城市轨道是城市公共交通的主骨架，以推动温州南部地区发展、支撑城市用地布局、优化城市功能分区、助推公共交通发展为导向，加快完善城市轨道交通网络。</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规划1条城市轨道：温州市域S3线。S3线为温州南北走向市域线，承担都市区范围内沿海区域南北向组团间快速交通联系，在平阳境内南北贯穿东部城镇群，提供平阳与温州市区间快速、大容量的公交化服务。</w:t>
      </w:r>
    </w:p>
    <w:p>
      <w:pPr>
        <w:pStyle w:val="8"/>
        <w:keepNext w:val="0"/>
        <w:keepLines w:val="0"/>
        <w:pageBreakBefore w:val="0"/>
        <w:widowControl w:val="0"/>
        <w:numPr>
          <w:ilvl w:val="0"/>
          <w:numId w:val="6"/>
        </w:numPr>
        <w:kinsoku/>
        <w:wordWrap/>
        <w:overflowPunct/>
        <w:topLinePunct w:val="0"/>
        <w:autoSpaceDE/>
        <w:autoSpaceDN/>
        <w:bidi w:val="0"/>
        <w:adjustRightInd/>
        <w:snapToGrid w:val="0"/>
        <w:spacing w:before="0" w:after="0" w:line="560" w:lineRule="exact"/>
        <w:ind w:left="0" w:firstLine="960" w:firstLineChars="3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普通国省道布局</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 xml:space="preserve">普通国省道是集散性客货运输的主体，主要承担中短距离客货运输。注重均衡布局，增加乡镇和重要经济节点的通达水平。注重存量优化，推进普通国省道网络提升改造。 </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规划形成</w:t>
      </w:r>
      <w:r>
        <w:rPr>
          <w:rFonts w:hint="default" w:ascii="Times New Roman" w:hAnsi="Times New Roman" w:cs="Times New Roman"/>
          <w:b/>
          <w:bCs/>
          <w:sz w:val="32"/>
          <w:szCs w:val="32"/>
        </w:rPr>
        <w:t>“两纵、两横”</w:t>
      </w:r>
      <w:r>
        <w:rPr>
          <w:rFonts w:hint="default" w:ascii="Times New Roman" w:hAnsi="Times New Roman" w:cs="Times New Roman"/>
          <w:sz w:val="32"/>
          <w:szCs w:val="32"/>
        </w:rPr>
        <w:t>的布局形态：</w:t>
      </w:r>
    </w:p>
    <w:p>
      <w:pPr>
        <w:pStyle w:val="20"/>
        <w:keepNext w:val="0"/>
        <w:keepLines w:val="0"/>
        <w:pageBreakBefore w:val="0"/>
        <w:widowControl w:val="0"/>
        <w:numPr>
          <w:ilvl w:val="0"/>
          <w:numId w:val="7"/>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“两纵”：G104、G228；</w:t>
      </w:r>
    </w:p>
    <w:p>
      <w:pPr>
        <w:pStyle w:val="20"/>
        <w:keepNext w:val="0"/>
        <w:keepLines w:val="0"/>
        <w:pageBreakBefore w:val="0"/>
        <w:widowControl w:val="0"/>
        <w:numPr>
          <w:ilvl w:val="0"/>
          <w:numId w:val="7"/>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“两横”：安吉-龙港省道、临安-苍南省道。</w:t>
      </w:r>
    </w:p>
    <w:p>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5143500" cy="3476625"/>
            <wp:effectExtent l="0" t="0" r="0" b="9525"/>
            <wp:docPr id="56" name="图片 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53"/>
                    <pic:cNvPicPr>
                      <a:picLocks noChangeAspect="true"/>
                    </pic:cNvPicPr>
                  </pic:nvPicPr>
                  <pic:blipFill>
                    <a:blip r:embed="rId22"/>
                    <a:stretch>
                      <a:fillRect/>
                    </a:stretch>
                  </pic:blipFill>
                  <pic:spPr>
                    <a:xfrm>
                      <a:off x="0" y="0"/>
                      <a:ext cx="5143500" cy="3476625"/>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图4-9</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 xml:space="preserve"> 平阳县国省道规划布局图</w:t>
      </w:r>
    </w:p>
    <w:p>
      <w:pPr>
        <w:pStyle w:val="8"/>
        <w:keepNext w:val="0"/>
        <w:keepLines w:val="0"/>
        <w:pageBreakBefore w:val="0"/>
        <w:widowControl w:val="0"/>
        <w:numPr>
          <w:ilvl w:val="0"/>
          <w:numId w:val="6"/>
        </w:numPr>
        <w:kinsoku/>
        <w:wordWrap/>
        <w:overflowPunct/>
        <w:topLinePunct w:val="0"/>
        <w:autoSpaceDE/>
        <w:autoSpaceDN/>
        <w:bidi w:val="0"/>
        <w:adjustRightInd/>
        <w:snapToGrid w:val="0"/>
        <w:spacing w:before="0" w:after="0" w:line="560" w:lineRule="exact"/>
        <w:ind w:left="0" w:firstLine="960" w:firstLineChars="3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港口水运布局</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平阳港区未来将形成北侧以服务石油化工等大型临港工业为主，兼顾大宗散货运输；南侧以服务高端装备制造及其他新兴产业为主；港池底部岸线满足公共运输和客运滚装需求；同时，海向预留四个大型深水港池，以满足未来发展需求。</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港区作业区：鳌江作业区，保留部分小型渔业生产型码头功能，做强旅游客运码头，打造海上旅游交通枢纽。西湾作业区远期阶段是平阳主要码头区。远期在中期基础上继续沿东侧开发，作为通用、石化码头岸线，长1200m。</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内河航道：远期贯通平瑞内河与鳌江航道，打通从温瑞内河沿飞云江，经鳌江下厂至苍南龙金内河，作为平阳港区的水上集疏运水上通道，同时也是浙南纵向的内河主通道。港区航道按照3000吨级标准船型进行设计，需结合西湾围垦工程对外航道进行整治。</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（5）基础服务网</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以农村公路为主体，通用航空为补充，构建广覆盖、深通达、惠及广的综合交通基础服务网络，是对外骨干网和一体化快速网的重要补充，是推进城乡交通运输服务体系建设、推动交通运输基本公共服务均等化的有力支撑。</w:t>
      </w:r>
    </w:p>
    <w:p>
      <w:pPr>
        <w:pStyle w:val="8"/>
        <w:keepNext w:val="0"/>
        <w:keepLines w:val="0"/>
        <w:pageBreakBefore w:val="0"/>
        <w:widowControl w:val="0"/>
        <w:numPr>
          <w:ilvl w:val="0"/>
          <w:numId w:val="8"/>
        </w:numPr>
        <w:kinsoku/>
        <w:wordWrap/>
        <w:overflowPunct/>
        <w:topLinePunct w:val="0"/>
        <w:autoSpaceDE/>
        <w:autoSpaceDN/>
        <w:bidi w:val="0"/>
        <w:adjustRightInd/>
        <w:snapToGrid w:val="0"/>
        <w:spacing w:before="0" w:after="0" w:line="560" w:lineRule="exact"/>
        <w:ind w:left="0" w:firstLine="960" w:firstLineChars="3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农村公路发展重点</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启动交通内网畅通工程，加快实施农村公路改造提升工程，逐步完善城市至乡镇、乡镇至村的主要道路，引导农村公路向更高水平发展，尽早便捷化、畅通化。加快“四好农村路”建设，促进城乡一体化，使城市与农村，中心镇与中心村实现连接；加大农村公路改造力度，构筑城乡一体化公路网络，为平阳县实现跨越式发展提供必要保障。“十四五”时期，平阳县预计投资57亿元，新建农村联网公路333条，改造危病桥15座，打造一批美丽公路。</w:t>
      </w:r>
    </w:p>
    <w:p>
      <w:pPr>
        <w:pStyle w:val="8"/>
        <w:keepNext w:val="0"/>
        <w:keepLines w:val="0"/>
        <w:pageBreakBefore w:val="0"/>
        <w:widowControl w:val="0"/>
        <w:numPr>
          <w:ilvl w:val="0"/>
          <w:numId w:val="8"/>
        </w:numPr>
        <w:kinsoku/>
        <w:wordWrap/>
        <w:overflowPunct/>
        <w:topLinePunct w:val="0"/>
        <w:autoSpaceDE/>
        <w:autoSpaceDN/>
        <w:bidi w:val="0"/>
        <w:adjustRightInd/>
        <w:snapToGrid w:val="0"/>
        <w:spacing w:before="0" w:after="0" w:line="560" w:lineRule="exact"/>
        <w:ind w:left="0" w:firstLine="960" w:firstLineChars="3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通用航空发展重点</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通用机场作为通用航空发展的基石和重要载体，是专供通用航空飞行任务起降的机场，也是综合交通基础设施网络的重要组成部分。规划建设1个A2级通用机场，主要开展航空运输、低空旅游、航空作业等业务，具备开展应急救援和医疗救援等社会公共服务功能。同时，为积极响应全省空中1小时交通圈的发展目标，依托通用航空产业基地，推进特色航空小镇建设。</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（6）特色网络布局 – 普通干线公路网布局</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kern w:val="0"/>
          <w:sz w:val="32"/>
          <w:szCs w:val="32"/>
        </w:rPr>
      </w:pPr>
      <w:r>
        <w:rPr>
          <w:rFonts w:hint="default" w:ascii="Times New Roman" w:hAnsi="Times New Roman" w:cs="Times New Roman"/>
          <w:kern w:val="0"/>
          <w:sz w:val="32"/>
          <w:szCs w:val="32"/>
        </w:rPr>
        <w:t>普通干线公路网由普通国省道、重要县道、城市道路组成。其中，普通国省道形成</w:t>
      </w:r>
      <w:r>
        <w:rPr>
          <w:rFonts w:hint="default" w:ascii="Times New Roman" w:hAnsi="Times New Roman" w:cs="Times New Roman"/>
          <w:b/>
          <w:bCs/>
          <w:kern w:val="0"/>
          <w:sz w:val="32"/>
          <w:szCs w:val="32"/>
        </w:rPr>
        <w:t>“两纵、两横”</w:t>
      </w:r>
      <w:r>
        <w:rPr>
          <w:rFonts w:hint="default" w:ascii="Times New Roman" w:hAnsi="Times New Roman" w:cs="Times New Roman"/>
          <w:kern w:val="0"/>
          <w:sz w:val="32"/>
          <w:szCs w:val="32"/>
        </w:rPr>
        <w:t>的布局形态，平阳县域公路规划形成“一轴两翼、十射、六连”的布局形态：</w:t>
      </w:r>
    </w:p>
    <w:p>
      <w:pPr>
        <w:pStyle w:val="20"/>
        <w:keepNext w:val="0"/>
        <w:keepLines w:val="0"/>
        <w:pageBreakBefore w:val="0"/>
        <w:widowControl w:val="0"/>
        <w:numPr>
          <w:ilvl w:val="0"/>
          <w:numId w:val="9"/>
        </w:numPr>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“一轴两翼”布局</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一轴</w:t>
      </w:r>
      <w:r>
        <w:rPr>
          <w:rFonts w:hint="default" w:ascii="Times New Roman" w:hAnsi="Times New Roman" w:cs="Times New Roman"/>
          <w:sz w:val="32"/>
          <w:szCs w:val="32"/>
        </w:rPr>
        <w:t>：环城北路、104国道西过境水头接线、57省道复线。</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一翼（环古盘山快速交通环线）</w:t>
      </w:r>
      <w:r>
        <w:rPr>
          <w:rFonts w:hint="default" w:ascii="Times New Roman" w:hAnsi="Times New Roman" w:cs="Times New Roman"/>
          <w:sz w:val="32"/>
          <w:szCs w:val="32"/>
        </w:rPr>
        <w:t>：昆宋公路及其东延、疏港大道、沿海公路、车站大道、昆鳌大道。</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二翼（西部乡镇县道环线）</w:t>
      </w:r>
      <w:r>
        <w:rPr>
          <w:rFonts w:hint="default" w:ascii="Times New Roman" w:hAnsi="Times New Roman" w:cs="Times New Roman"/>
          <w:sz w:val="32"/>
          <w:szCs w:val="32"/>
        </w:rPr>
        <w:t>：S218至S219连接线工程、灵内线、水南公路、灵溪线；</w:t>
      </w:r>
    </w:p>
    <w:p>
      <w:pPr>
        <w:pStyle w:val="20"/>
        <w:keepNext w:val="0"/>
        <w:keepLines w:val="0"/>
        <w:pageBreakBefore w:val="0"/>
        <w:widowControl w:val="0"/>
        <w:numPr>
          <w:ilvl w:val="0"/>
          <w:numId w:val="9"/>
        </w:numPr>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射线</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一射：万鳌公路；</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二射：老G104（往瑞安方向）；</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三射：老G104（往龙港方向）；</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四射：钱马公路；</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五射：218省道至瑞安平阳坑连接线工程；</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六射：红旅水头至凤卧专用道路；</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七射：顺溪至怀溪公路—文平公路；</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八射：顺溪至吴</w:t>
      </w:r>
      <w:r>
        <w:rPr>
          <w:rFonts w:hint="default" w:ascii="Times New Roman" w:hAnsi="Times New Roman" w:eastAsia="微软雅黑" w:cs="Times New Roman"/>
          <w:sz w:val="32"/>
          <w:szCs w:val="32"/>
        </w:rPr>
        <w:t>垟</w:t>
      </w:r>
      <w:r>
        <w:rPr>
          <w:rFonts w:hint="default" w:ascii="Times New Roman" w:hAnsi="Times New Roman" w:cs="Times New Roman"/>
          <w:sz w:val="32"/>
          <w:szCs w:val="32"/>
        </w:rPr>
        <w:t>公路；</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九射：平阳至泰顺道路工程；</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十射：南雁至顺溪公路。</w:t>
      </w:r>
    </w:p>
    <w:p>
      <w:pPr>
        <w:pStyle w:val="20"/>
        <w:keepNext w:val="0"/>
        <w:keepLines w:val="0"/>
        <w:pageBreakBefore w:val="0"/>
        <w:widowControl w:val="0"/>
        <w:numPr>
          <w:ilvl w:val="0"/>
          <w:numId w:val="11"/>
        </w:numPr>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连线</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一连：港站城大道；</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二连：温瑞快速路平阳段延伸工程；</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三连：瑞安曹村至平阳昆阳公路；</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四连：万锦公路；</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五连：南雁互通连接线。</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六连：水头互通连接线</w:t>
      </w:r>
    </w:p>
    <w:p>
      <w:pPr>
        <w:keepNext w:val="0"/>
        <w:keepLines w:val="0"/>
        <w:pageBreakBefore w:val="0"/>
        <w:widowControl w:val="0"/>
        <w:kinsoku/>
        <w:wordWrap/>
        <w:overflowPunct/>
        <w:topLinePunct w:val="0"/>
        <w:autoSpaceDE/>
        <w:autoSpaceDN/>
        <w:bidi w:val="0"/>
        <w:adjustRightInd/>
        <w:snapToGrid w:val="0"/>
        <w:spacing w:before="157" w:beforeLines="50" w:line="240" w:lineRule="auto"/>
        <w:ind w:left="0" w:firstLine="0" w:firstLineChars="0"/>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4895850" cy="3392805"/>
            <wp:effectExtent l="0" t="0" r="0" b="17145"/>
            <wp:docPr id="52" name="图片 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54"/>
                    <pic:cNvPicPr>
                      <a:picLocks noChangeAspect="true"/>
                    </pic:cNvPicPr>
                  </pic:nvPicPr>
                  <pic:blipFill>
                    <a:blip r:embed="rId23"/>
                    <a:srcRect l="757" t="13976" r="17799" b="7681"/>
                    <a:stretch>
                      <a:fillRect/>
                    </a:stretch>
                  </pic:blipFill>
                  <pic:spPr>
                    <a:xfrm>
                      <a:off x="0" y="0"/>
                      <a:ext cx="4895850" cy="3392805"/>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图4-10 </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平阳普通干线公路网布局图</w:t>
      </w:r>
    </w:p>
    <w:p>
      <w:pPr>
        <w:rPr>
          <w:rFonts w:hint="default" w:ascii="Times New Roman" w:hAnsi="Times New Roman" w:cs="Times New Roman"/>
          <w:sz w:val="32"/>
          <w:szCs w:val="32"/>
        </w:rPr>
      </w:pPr>
      <w:bookmarkStart w:id="60" w:name="_Toc38641009"/>
      <w:bookmarkStart w:id="61" w:name="_Toc102660580"/>
      <w:r>
        <w:rPr>
          <w:rFonts w:hint="default" w:ascii="Times New Roman" w:hAnsi="Times New Roman" w:cs="Times New Roman"/>
          <w:sz w:val="32"/>
          <w:szCs w:val="32"/>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0" w:firstLine="640" w:firstLineChars="200"/>
        <w:jc w:val="center"/>
        <w:textAlignment w:val="auto"/>
        <w:rPr>
          <w:rFonts w:hint="default" w:ascii="Times New Roman" w:hAnsi="Times New Roman" w:cs="Times New Roman"/>
          <w:b w:val="0"/>
          <w:bCs w:val="0"/>
          <w:sz w:val="32"/>
          <w:szCs w:val="32"/>
          <w:lang w:eastAsia="zh-CN"/>
        </w:rPr>
      </w:pPr>
      <w:r>
        <w:rPr>
          <w:rFonts w:hint="default" w:ascii="Times New Roman" w:hAnsi="Times New Roman" w:cs="Times New Roman"/>
          <w:b w:val="0"/>
          <w:bCs w:val="0"/>
          <w:sz w:val="32"/>
          <w:szCs w:val="32"/>
          <w:lang w:eastAsia="zh-CN"/>
        </w:rPr>
        <w:t>五、“十四五”发展重点及任务</w:t>
      </w:r>
      <w:bookmarkEnd w:id="60"/>
      <w:bookmarkEnd w:id="61"/>
    </w:p>
    <w:p>
      <w:pPr>
        <w:pStyle w:val="5"/>
        <w:keepNext w:val="0"/>
        <w:keepLines w:val="0"/>
        <w:pageBreakBefore w:val="0"/>
        <w:widowControl w:val="0"/>
        <w:numPr>
          <w:ilvl w:val="0"/>
          <w:numId w:val="0"/>
        </w:numPr>
        <w:kinsoku/>
        <w:wordWrap/>
        <w:overflowPunct/>
        <w:topLinePunct w:val="0"/>
        <w:autoSpaceDE/>
        <w:autoSpaceDN/>
        <w:bidi w:val="0"/>
        <w:adjustRightInd/>
        <w:spacing w:beforeLines="0" w:afterLines="0" w:line="560" w:lineRule="exact"/>
        <w:ind w:left="0" w:firstLine="640" w:firstLineChars="200"/>
        <w:textAlignment w:val="auto"/>
        <w:rPr>
          <w:rFonts w:hint="default" w:ascii="Times New Roman" w:hAnsi="Times New Roman" w:eastAsia="楷体_GB2312" w:cs="Times New Roman"/>
          <w:b w:val="0"/>
          <w:bCs w:val="0"/>
          <w:sz w:val="32"/>
          <w:szCs w:val="32"/>
        </w:rPr>
      </w:pPr>
      <w:bookmarkStart w:id="62" w:name="_Toc102660581"/>
      <w:r>
        <w:rPr>
          <w:rFonts w:hint="default" w:ascii="Times New Roman" w:hAnsi="Times New Roman" w:eastAsia="楷体_GB2312" w:cs="Times New Roman"/>
          <w:b w:val="0"/>
          <w:bCs w:val="0"/>
          <w:sz w:val="32"/>
          <w:szCs w:val="32"/>
        </w:rPr>
        <w:t>任务1：谋划区域一体化交通布局，融入省市级交通大通道</w:t>
      </w:r>
      <w:bookmarkEnd w:id="62"/>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“十四五”期间，平阳县将以 “六纵六横两环”为布局，加快完工104国道西过境建设，加上现有228国道、甬台温高速公路、甬台温高速公路复线、老104国道、万鳌公路形成“六纵”。规划228国道至海西公路，加上现有绕西南高速公路、昆宋公路、城东至海西公路（城新线）疏港大道、胜利路、形成“六横”；开工古盘山快速通道二期工程，规划城海线，与胜利路、228国道以及古盘山快速通道一期工程组成内环；开工滨海景观大道，与昆宋公路、疏港公路、车站大道、昆鳌大道组成外环。</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紧抓温州南部区域一体化发展契机，充分发挥设施资源优势，综合优化县域立体交通布局。对外依托通用机场、高速公路、城市轨道交通建设，扩大区域、都市圈交通时空圈辐射广度；对内依托高等级快速公路衔接，打造内联畅通，出行便捷的交通体系。进一步提升平阳作为温州南部交通枢纽的服务能级。</w:t>
      </w:r>
    </w:p>
    <w:p>
      <w:pPr>
        <w:keepNext w:val="0"/>
        <w:keepLines w:val="0"/>
        <w:pageBreakBefore w:val="0"/>
        <w:widowControl w:val="0"/>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1．加快推进高速公路建设，加强对温州南部地区辐射带动</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十四五”时期，积极推进高速公路重点项目建设工程，进一步完善县域范围内高速公路网络衔接。加快瑞平苍高速公路（龙丽温至甬台温复线联络线）建设，与龙丽温高速公路、甬台温复线高速公路鳌江形成东西横向贯通三条高速公路，起到连接沿海经济发达区域和山区欠发达区域的横向纽带作用，形成环鳌江流域的高速公路环线，增加经济辐射范围，形成温州南部经济发展的新增长点。满足瑞安、平阳、龙港、苍南之间区域快速交通和防洪救灾通道的迫切需求，建设鳌江流域中心城镇群创造优质交通条件。</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加快推进G15沈海高速公路温州市南白象枢纽至万全枢纽段改扩建工程前期工作，项目建成后对缓解高峰时期G15沈海高速公路部分路段拥堵，完善温州南部地区路网结构有重要意义。</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积极谋划合温高速南延工程，力争纳入省市级规划，该通道建成后与合温高速、瑞苍高速景宁至柘荣高速共同形成纵贯皖、浙、闽三省的南北大通道，进一步扩大县域高速公路15分钟时空圈覆盖范围，大幅改善平阳县西部地区出行不便问题。</w:t>
      </w:r>
    </w:p>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cs="Times New Roman"/>
          <w:szCs w:val="24"/>
        </w:rPr>
      </w:pPr>
    </w:p>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表5-1</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平阳县“十四五”时期高速公路重点建设项目表</w:t>
      </w:r>
    </w:p>
    <w:tbl>
      <w:tblPr>
        <w:tblStyle w:val="16"/>
        <w:tblW w:w="8814" w:type="dxa"/>
        <w:jc w:val="center"/>
        <w:tblLayout w:type="fixed"/>
        <w:tblCellMar>
          <w:top w:w="0" w:type="dxa"/>
          <w:left w:w="0" w:type="dxa"/>
          <w:bottom w:w="0" w:type="dxa"/>
          <w:right w:w="0" w:type="dxa"/>
        </w:tblCellMar>
      </w:tblPr>
      <w:tblGrid>
        <w:gridCol w:w="1953"/>
        <w:gridCol w:w="2335"/>
        <w:gridCol w:w="1252"/>
        <w:gridCol w:w="951"/>
        <w:gridCol w:w="1089"/>
        <w:gridCol w:w="1234"/>
      </w:tblGrid>
      <w:tr>
        <w:tblPrEx>
          <w:tblCellMar>
            <w:top w:w="0" w:type="dxa"/>
            <w:left w:w="0" w:type="dxa"/>
            <w:bottom w:w="0" w:type="dxa"/>
            <w:right w:w="0" w:type="dxa"/>
          </w:tblCellMar>
        </w:tblPrEx>
        <w:trPr>
          <w:trHeight w:val="519" w:hRule="atLeast"/>
          <w:jc w:val="center"/>
        </w:trPr>
        <w:tc>
          <w:tcPr>
            <w:tcW w:w="195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项目名称</w:t>
            </w:r>
          </w:p>
        </w:tc>
        <w:tc>
          <w:tcPr>
            <w:tcW w:w="2335"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建设内容</w:t>
            </w:r>
          </w:p>
        </w:tc>
        <w:tc>
          <w:tcPr>
            <w:tcW w:w="1252"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建设年限</w:t>
            </w:r>
          </w:p>
        </w:tc>
        <w:tc>
          <w:tcPr>
            <w:tcW w:w="95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建设性质</w:t>
            </w:r>
          </w:p>
        </w:tc>
        <w:tc>
          <w:tcPr>
            <w:tcW w:w="1089"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总投资</w:t>
            </w:r>
          </w:p>
        </w:tc>
        <w:tc>
          <w:tcPr>
            <w:tcW w:w="12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十四五投资（亿元）</w:t>
            </w:r>
          </w:p>
        </w:tc>
      </w:tr>
      <w:tr>
        <w:tblPrEx>
          <w:tblCellMar>
            <w:top w:w="0" w:type="dxa"/>
            <w:left w:w="0" w:type="dxa"/>
            <w:bottom w:w="0" w:type="dxa"/>
            <w:right w:w="0" w:type="dxa"/>
          </w:tblCellMar>
        </w:tblPrEx>
        <w:trPr>
          <w:trHeight w:val="623" w:hRule="atLeast"/>
          <w:jc w:val="center"/>
        </w:trPr>
        <w:tc>
          <w:tcPr>
            <w:tcW w:w="195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瑞平苍高速公路（龙丽温至甬台温复线联络线）</w:t>
            </w:r>
          </w:p>
        </w:tc>
        <w:tc>
          <w:tcPr>
            <w:tcW w:w="2335"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rPr>
                <w:rFonts w:hint="default" w:ascii="Times New Roman" w:hAnsi="Times New Roman" w:cs="Times New Roman"/>
                <w:kern w:val="24"/>
                <w:sz w:val="21"/>
                <w:szCs w:val="21"/>
              </w:rPr>
            </w:pPr>
            <w:r>
              <w:rPr>
                <w:rFonts w:hint="default" w:ascii="Times New Roman" w:hAnsi="Times New Roman" w:cs="Times New Roman"/>
                <w:sz w:val="21"/>
                <w:szCs w:val="21"/>
              </w:rPr>
              <w:t>平阳段全长29公里，路基宽26米，设置互通4处，双向4车道，设计速度为100公里/小时。</w:t>
            </w:r>
          </w:p>
        </w:tc>
        <w:tc>
          <w:tcPr>
            <w:tcW w:w="1252"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2020-2025</w:t>
            </w:r>
          </w:p>
        </w:tc>
        <w:tc>
          <w:tcPr>
            <w:tcW w:w="95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续建</w:t>
            </w:r>
          </w:p>
        </w:tc>
        <w:tc>
          <w:tcPr>
            <w:tcW w:w="1089"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101</w:t>
            </w:r>
          </w:p>
        </w:tc>
        <w:tc>
          <w:tcPr>
            <w:tcW w:w="12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sz w:val="21"/>
                <w:szCs w:val="21"/>
              </w:rPr>
              <w:t>98</w:t>
            </w:r>
          </w:p>
        </w:tc>
      </w:tr>
      <w:tr>
        <w:tblPrEx>
          <w:tblCellMar>
            <w:top w:w="0" w:type="dxa"/>
            <w:left w:w="0" w:type="dxa"/>
            <w:bottom w:w="0" w:type="dxa"/>
            <w:right w:w="0" w:type="dxa"/>
          </w:tblCellMar>
        </w:tblPrEx>
        <w:trPr>
          <w:trHeight w:val="933" w:hRule="atLeast"/>
          <w:jc w:val="center"/>
        </w:trPr>
        <w:tc>
          <w:tcPr>
            <w:tcW w:w="195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G15 沈海高速公路温州市南白象枢纽至万全枢纽段改扩建工程</w:t>
            </w:r>
          </w:p>
        </w:tc>
        <w:tc>
          <w:tcPr>
            <w:tcW w:w="2335"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rPr>
                <w:rFonts w:hint="default" w:ascii="Times New Roman" w:hAnsi="Times New Roman" w:eastAsia="宋体" w:cs="Times New Roman"/>
                <w:kern w:val="0"/>
                <w:sz w:val="21"/>
                <w:szCs w:val="21"/>
              </w:rPr>
            </w:pPr>
            <w:r>
              <w:rPr>
                <w:rFonts w:hint="default" w:ascii="Times New Roman" w:hAnsi="Times New Roman" w:cs="Times New Roman"/>
                <w:sz w:val="21"/>
                <w:szCs w:val="21"/>
              </w:rPr>
              <w:t>主线全长27公里，双向四车道扩建为双向八车道高速公路。</w:t>
            </w:r>
          </w:p>
        </w:tc>
        <w:tc>
          <w:tcPr>
            <w:tcW w:w="1252"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2024-2028</w:t>
            </w:r>
          </w:p>
        </w:tc>
        <w:tc>
          <w:tcPr>
            <w:tcW w:w="95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新建</w:t>
            </w:r>
          </w:p>
        </w:tc>
        <w:tc>
          <w:tcPr>
            <w:tcW w:w="1089"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5.1</w:t>
            </w:r>
          </w:p>
        </w:tc>
        <w:tc>
          <w:tcPr>
            <w:tcW w:w="12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sz w:val="21"/>
                <w:szCs w:val="21"/>
              </w:rPr>
              <w:t>0.3</w:t>
            </w:r>
          </w:p>
        </w:tc>
      </w:tr>
      <w:tr>
        <w:tblPrEx>
          <w:tblCellMar>
            <w:top w:w="0" w:type="dxa"/>
            <w:left w:w="0" w:type="dxa"/>
            <w:bottom w:w="0" w:type="dxa"/>
            <w:right w:w="0" w:type="dxa"/>
          </w:tblCellMar>
        </w:tblPrEx>
        <w:trPr>
          <w:trHeight w:val="467" w:hRule="atLeast"/>
          <w:jc w:val="center"/>
        </w:trPr>
        <w:tc>
          <w:tcPr>
            <w:tcW w:w="1953"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甬台温高速增设平阳北互通工程</w:t>
            </w:r>
          </w:p>
        </w:tc>
        <w:tc>
          <w:tcPr>
            <w:tcW w:w="2335"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rPr>
                <w:rFonts w:hint="default" w:ascii="Times New Roman" w:hAnsi="Times New Roman" w:cs="Times New Roman"/>
                <w:kern w:val="24"/>
                <w:sz w:val="21"/>
                <w:szCs w:val="21"/>
              </w:rPr>
            </w:pPr>
            <w:r>
              <w:rPr>
                <w:rFonts w:hint="default" w:ascii="Times New Roman" w:hAnsi="Times New Roman" w:cs="Times New Roman"/>
                <w:sz w:val="21"/>
                <w:szCs w:val="21"/>
              </w:rPr>
              <w:t>互通立交区内甬台温高速公路主线长拼宽1040米，匝道总长3136米，互通连接线全长4654米，双向6车道，按照一级公路标准建设。</w:t>
            </w:r>
          </w:p>
        </w:tc>
        <w:tc>
          <w:tcPr>
            <w:tcW w:w="125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2019-2023</w:t>
            </w:r>
          </w:p>
        </w:tc>
        <w:tc>
          <w:tcPr>
            <w:tcW w:w="95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续建</w:t>
            </w:r>
          </w:p>
        </w:tc>
        <w:tc>
          <w:tcPr>
            <w:tcW w:w="1089"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9.6</w:t>
            </w:r>
          </w:p>
        </w:tc>
        <w:tc>
          <w:tcPr>
            <w:tcW w:w="12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sz w:val="21"/>
                <w:szCs w:val="21"/>
              </w:rPr>
              <w:t>6.6</w:t>
            </w:r>
          </w:p>
        </w:tc>
      </w:tr>
      <w:tr>
        <w:tblPrEx>
          <w:tblCellMar>
            <w:top w:w="0" w:type="dxa"/>
            <w:left w:w="0" w:type="dxa"/>
            <w:bottom w:w="0" w:type="dxa"/>
            <w:right w:w="0" w:type="dxa"/>
          </w:tblCellMar>
        </w:tblPrEx>
        <w:trPr>
          <w:trHeight w:val="467" w:hRule="atLeast"/>
          <w:jc w:val="center"/>
        </w:trPr>
        <w:tc>
          <w:tcPr>
            <w:tcW w:w="1953"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甬台温高速增设鳌江互通工程</w:t>
            </w:r>
          </w:p>
        </w:tc>
        <w:tc>
          <w:tcPr>
            <w:tcW w:w="2335"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rPr>
                <w:rFonts w:hint="default" w:ascii="Times New Roman" w:hAnsi="Times New Roman" w:cs="Times New Roman"/>
                <w:kern w:val="24"/>
                <w:sz w:val="21"/>
                <w:szCs w:val="21"/>
              </w:rPr>
            </w:pPr>
            <w:r>
              <w:rPr>
                <w:rFonts w:hint="default" w:ascii="Times New Roman" w:hAnsi="Times New Roman" w:cs="Times New Roman"/>
                <w:sz w:val="21"/>
                <w:szCs w:val="21"/>
              </w:rPr>
              <w:t>主线长1.06公里，路基宽24.5m，匝道总长1.82公里，互通连接线长2.398公里，双向4车道，采用一级公路标准建设。</w:t>
            </w:r>
          </w:p>
        </w:tc>
        <w:tc>
          <w:tcPr>
            <w:tcW w:w="125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2020-2023</w:t>
            </w:r>
          </w:p>
        </w:tc>
        <w:tc>
          <w:tcPr>
            <w:tcW w:w="95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新建</w:t>
            </w:r>
          </w:p>
        </w:tc>
        <w:tc>
          <w:tcPr>
            <w:tcW w:w="1089"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7.6</w:t>
            </w:r>
          </w:p>
        </w:tc>
        <w:tc>
          <w:tcPr>
            <w:tcW w:w="12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sz w:val="21"/>
                <w:szCs w:val="21"/>
              </w:rPr>
              <w:t>6</w:t>
            </w:r>
          </w:p>
        </w:tc>
      </w:tr>
      <w:tr>
        <w:tblPrEx>
          <w:tblCellMar>
            <w:top w:w="0" w:type="dxa"/>
            <w:left w:w="0" w:type="dxa"/>
            <w:bottom w:w="0" w:type="dxa"/>
            <w:right w:w="0" w:type="dxa"/>
          </w:tblCellMar>
        </w:tblPrEx>
        <w:trPr>
          <w:trHeight w:val="467" w:hRule="atLeast"/>
          <w:jc w:val="center"/>
        </w:trPr>
        <w:tc>
          <w:tcPr>
            <w:tcW w:w="1953"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合温高速南延工程</w:t>
            </w:r>
          </w:p>
        </w:tc>
        <w:tc>
          <w:tcPr>
            <w:tcW w:w="2335"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项目前期谋划中</w:t>
            </w:r>
          </w:p>
        </w:tc>
        <w:tc>
          <w:tcPr>
            <w:tcW w:w="125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kern w:val="24"/>
                <w:sz w:val="21"/>
                <w:szCs w:val="21"/>
              </w:rPr>
            </w:pPr>
            <w:r>
              <w:rPr>
                <w:rFonts w:hint="default" w:ascii="Times New Roman" w:hAnsi="Times New Roman" w:cs="Times New Roman"/>
                <w:kern w:val="0"/>
                <w:sz w:val="21"/>
                <w:szCs w:val="21"/>
              </w:rPr>
              <w:t>—</w:t>
            </w:r>
          </w:p>
        </w:tc>
        <w:tc>
          <w:tcPr>
            <w:tcW w:w="95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新建</w:t>
            </w:r>
          </w:p>
        </w:tc>
        <w:tc>
          <w:tcPr>
            <w:tcW w:w="1089" w:type="dxa"/>
            <w:tcBorders>
              <w:top w:val="single" w:color="000000" w:sz="8" w:space="0"/>
              <w:left w:val="single" w:color="000000" w:sz="8" w:space="0"/>
              <w:bottom w:val="single" w:color="000000" w:sz="8" w:space="0"/>
              <w:right w:val="single" w:color="000000" w:sz="8" w:space="0"/>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p>
        </w:tc>
        <w:tc>
          <w:tcPr>
            <w:tcW w:w="12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w:t>
            </w:r>
          </w:p>
        </w:tc>
      </w:tr>
    </w:tbl>
    <w:p>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 xml:space="preserve">2．积极协调推进沿海高铁等重大项目建设 </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温福高铁途径浙江温州市，福建宁德市和福州市，线路全长313公里，其中温州境内106公里，平阳段全长29公里，设计时速350km/h。建成后，温州都市圈至海西都市圈通行时间缩短至一小时，“十四五”时期加快推进沿海高铁项目前期工作，全力争取在鳌江设站，力争在“十四五”期间开工建设。</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铁路S3线作为南部地区融入全市都市区优质生活圈的快速公共客运廊道，作为构建未来温州都市圈的东部沿海联系轴的重要支撑。考虑到未来温州南部地区一体化进程推进，未来温州东部沿海地区南北向客流预计将达到91.5万人次/日，平阳县中心区与温州市中心区以及龙港、苍南的快速化交通联系将愈加紧密。“十四五”时期应向上积极争取市域铁路S3二期工程尽快接入平阳，加快融入全市优质生活圈。</w:t>
      </w:r>
    </w:p>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cs="Times New Roman"/>
          <w:szCs w:val="24"/>
        </w:rPr>
      </w:pPr>
    </w:p>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表5-2</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平阳县“十四五”时期铁路及市域铁路重点建设项目表</w:t>
      </w:r>
    </w:p>
    <w:tbl>
      <w:tblPr>
        <w:tblStyle w:val="16"/>
        <w:tblW w:w="8917" w:type="dxa"/>
        <w:jc w:val="center"/>
        <w:tblLayout w:type="fixed"/>
        <w:tblCellMar>
          <w:top w:w="0" w:type="dxa"/>
          <w:left w:w="0" w:type="dxa"/>
          <w:bottom w:w="0" w:type="dxa"/>
          <w:right w:w="0" w:type="dxa"/>
        </w:tblCellMar>
      </w:tblPr>
      <w:tblGrid>
        <w:gridCol w:w="2411"/>
        <w:gridCol w:w="2411"/>
        <w:gridCol w:w="1290"/>
        <w:gridCol w:w="1215"/>
        <w:gridCol w:w="1590"/>
      </w:tblGrid>
      <w:tr>
        <w:tblPrEx>
          <w:tblCellMar>
            <w:top w:w="0" w:type="dxa"/>
            <w:left w:w="0" w:type="dxa"/>
            <w:bottom w:w="0" w:type="dxa"/>
            <w:right w:w="0" w:type="dxa"/>
          </w:tblCellMar>
        </w:tblPrEx>
        <w:trPr>
          <w:trHeight w:val="396" w:hRule="atLeast"/>
          <w:jc w:val="center"/>
        </w:trPr>
        <w:tc>
          <w:tcPr>
            <w:tcW w:w="2411"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项目名称</w:t>
            </w:r>
          </w:p>
        </w:tc>
        <w:tc>
          <w:tcPr>
            <w:tcW w:w="2411"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建设内容</w:t>
            </w:r>
          </w:p>
        </w:tc>
        <w:tc>
          <w:tcPr>
            <w:tcW w:w="129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建设年限</w:t>
            </w:r>
          </w:p>
        </w:tc>
        <w:tc>
          <w:tcPr>
            <w:tcW w:w="1215"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建设性质</w:t>
            </w:r>
          </w:p>
        </w:tc>
        <w:tc>
          <w:tcPr>
            <w:tcW w:w="159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总投资（亿元）</w:t>
            </w:r>
          </w:p>
        </w:tc>
      </w:tr>
      <w:tr>
        <w:tblPrEx>
          <w:tblCellMar>
            <w:top w:w="0" w:type="dxa"/>
            <w:left w:w="0" w:type="dxa"/>
            <w:bottom w:w="0" w:type="dxa"/>
            <w:right w:w="0" w:type="dxa"/>
          </w:tblCellMar>
        </w:tblPrEx>
        <w:trPr>
          <w:trHeight w:val="616" w:hRule="atLeast"/>
          <w:jc w:val="center"/>
        </w:trPr>
        <w:tc>
          <w:tcPr>
            <w:tcW w:w="2411"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温福高铁（平阳段）</w:t>
            </w:r>
          </w:p>
        </w:tc>
        <w:tc>
          <w:tcPr>
            <w:tcW w:w="2411"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rPr>
                <w:rFonts w:hint="default" w:ascii="Times New Roman" w:hAnsi="Times New Roman" w:eastAsia="宋体" w:cs="Times New Roman"/>
                <w:kern w:val="0"/>
                <w:sz w:val="21"/>
                <w:szCs w:val="21"/>
              </w:rPr>
            </w:pPr>
            <w:r>
              <w:rPr>
                <w:rFonts w:hint="default" w:ascii="Times New Roman" w:hAnsi="Times New Roman" w:cs="Times New Roman"/>
                <w:sz w:val="21"/>
                <w:szCs w:val="21"/>
              </w:rPr>
              <w:t>途经浙江温州市、宁德市和福州市；线路全长约313公里，其中温州境内约106公里，平阳段全长约29公里，速度目标值350公里/小时。</w:t>
            </w:r>
          </w:p>
        </w:tc>
        <w:tc>
          <w:tcPr>
            <w:tcW w:w="129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w:t>
            </w:r>
          </w:p>
        </w:tc>
        <w:tc>
          <w:tcPr>
            <w:tcW w:w="1215"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新建</w:t>
            </w:r>
          </w:p>
        </w:tc>
        <w:tc>
          <w:tcPr>
            <w:tcW w:w="159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80</w:t>
            </w:r>
          </w:p>
        </w:tc>
      </w:tr>
      <w:tr>
        <w:tblPrEx>
          <w:tblCellMar>
            <w:top w:w="0" w:type="dxa"/>
            <w:left w:w="0" w:type="dxa"/>
            <w:bottom w:w="0" w:type="dxa"/>
            <w:right w:w="0" w:type="dxa"/>
          </w:tblCellMar>
        </w:tblPrEx>
        <w:trPr>
          <w:trHeight w:val="545" w:hRule="atLeast"/>
          <w:jc w:val="center"/>
        </w:trPr>
        <w:tc>
          <w:tcPr>
            <w:tcW w:w="2411"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市域铁路S3线二期工程</w:t>
            </w:r>
          </w:p>
        </w:tc>
        <w:tc>
          <w:tcPr>
            <w:tcW w:w="2411"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rPr>
                <w:rFonts w:hint="default" w:ascii="Times New Roman" w:hAnsi="Times New Roman" w:eastAsia="宋体" w:cs="Times New Roman"/>
                <w:kern w:val="0"/>
                <w:sz w:val="21"/>
                <w:szCs w:val="21"/>
              </w:rPr>
            </w:pPr>
            <w:r>
              <w:rPr>
                <w:rFonts w:hint="default" w:ascii="Times New Roman" w:hAnsi="Times New Roman" w:cs="Times New Roman"/>
                <w:sz w:val="21"/>
                <w:szCs w:val="21"/>
              </w:rPr>
              <w:t>市域轨道S3线瑞安南延至苍南。</w:t>
            </w:r>
          </w:p>
        </w:tc>
        <w:tc>
          <w:tcPr>
            <w:tcW w:w="129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w:t>
            </w:r>
          </w:p>
        </w:tc>
        <w:tc>
          <w:tcPr>
            <w:tcW w:w="1215"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新建</w:t>
            </w:r>
          </w:p>
        </w:tc>
        <w:tc>
          <w:tcPr>
            <w:tcW w:w="159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80</w:t>
            </w:r>
          </w:p>
        </w:tc>
      </w:tr>
    </w:tbl>
    <w:p>
      <w:pPr>
        <w:keepNext w:val="0"/>
        <w:keepLines w:val="0"/>
        <w:pageBreakBefore w:val="0"/>
        <w:widowControl w:val="0"/>
        <w:kinsoku/>
        <w:wordWrap/>
        <w:overflowPunct/>
        <w:topLinePunct w:val="0"/>
        <w:autoSpaceDE/>
        <w:autoSpaceDN/>
        <w:bidi w:val="0"/>
        <w:adjustRightInd/>
        <w:spacing w:line="560" w:lineRule="exact"/>
        <w:ind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3．加快县域快速化交通体系，构建“畅行平阳”</w:t>
      </w:r>
    </w:p>
    <w:p>
      <w:pPr>
        <w:keepNext w:val="0"/>
        <w:keepLines w:val="0"/>
        <w:pageBreakBefore w:val="0"/>
        <w:widowControl w:val="0"/>
        <w:kinsoku/>
        <w:wordWrap/>
        <w:overflowPunct/>
        <w:topLinePunct w:val="0"/>
        <w:autoSpaceDE/>
        <w:autoSpaceDN/>
        <w:bidi w:val="0"/>
        <w:adjustRightInd/>
        <w:spacing w:line="560" w:lineRule="exact"/>
        <w:ind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十四五”时期，积极推进G104、G228、S218、S219建设，到2021年力争实现104国道西过境线、G228国道（平阳段）建成通车使用。积极推进S218、S219省道前期工作，力争到“十四五”期末基本完成项目主体工作，并积极争取纳入省级重点建设项目。</w:t>
      </w:r>
    </w:p>
    <w:p>
      <w:pPr>
        <w:keepNext w:val="0"/>
        <w:keepLines w:val="0"/>
        <w:pageBreakBefore w:val="0"/>
        <w:widowControl w:val="0"/>
        <w:kinsoku/>
        <w:wordWrap/>
        <w:overflowPunct/>
        <w:topLinePunct w:val="0"/>
        <w:autoSpaceDE/>
        <w:autoSpaceDN/>
        <w:bidi w:val="0"/>
        <w:adjustRightInd/>
        <w:spacing w:line="560" w:lineRule="exact"/>
        <w:ind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进一步贯穿东西通道，畅连“瑞平苍高速+甬台温高速”“218省道+104国道西过境”“港站城大道”“230省道+104国道”“57省道复线+218省道+228国道”五条通道，打通“大动脉”，畅通出行“快时代”。</w:t>
      </w:r>
    </w:p>
    <w:p>
      <w:pPr>
        <w:keepNext w:val="0"/>
        <w:keepLines w:val="0"/>
        <w:pageBreakBefore w:val="0"/>
        <w:widowControl w:val="0"/>
        <w:kinsoku/>
        <w:wordWrap/>
        <w:overflowPunct/>
        <w:topLinePunct w:val="0"/>
        <w:autoSpaceDE/>
        <w:autoSpaceDN/>
        <w:bidi w:val="0"/>
        <w:adjustRightInd/>
        <w:spacing w:line="560" w:lineRule="exact"/>
        <w:ind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西部路网将以“三纵两环十五射”的布局。续建瑞平苍高速平阳段、开工 218省道、219省道组成“三纵”；谋划瑞平苍高速至南雁荡山景区南北接线工程，加上现有的水头环城北路、57省道复线形成“一环通道”；谋划218省道至219省道南北连接线，开工建设环南雁荡山景区道路工程，与现有的闹南公路、防洪通道形成“二环通道”；开工苔湖至维新等五条西部红旅项目，谋划青街至莒溪公路、顺溪至九峰公路、218 省道至平阳坑连接线等项目，加上现有文平公路、雁顺公路、桥南线、仰矾线、顺吴公路等，形成“十五连”，辐射怀溪、顺溪、青街等西部乡镇。继续高质量建设“四好农村路”，畅通“毛细血管”，构建独具平阳特色的美丽公路，为共同富裕增添底色。</w:t>
      </w:r>
    </w:p>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表5-3</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平阳县“十四五”时期国省道项目表</w:t>
      </w:r>
    </w:p>
    <w:tbl>
      <w:tblPr>
        <w:tblStyle w:val="16"/>
        <w:tblW w:w="9498" w:type="dxa"/>
        <w:jc w:val="center"/>
        <w:tblLayout w:type="fixed"/>
        <w:tblCellMar>
          <w:top w:w="0" w:type="dxa"/>
          <w:left w:w="0" w:type="dxa"/>
          <w:bottom w:w="0" w:type="dxa"/>
          <w:right w:w="0" w:type="dxa"/>
        </w:tblCellMar>
      </w:tblPr>
      <w:tblGrid>
        <w:gridCol w:w="1560"/>
        <w:gridCol w:w="2805"/>
        <w:gridCol w:w="1417"/>
        <w:gridCol w:w="989"/>
        <w:gridCol w:w="1593"/>
        <w:gridCol w:w="1134"/>
      </w:tblGrid>
      <w:tr>
        <w:tblPrEx>
          <w:tblCellMar>
            <w:top w:w="0" w:type="dxa"/>
            <w:left w:w="0" w:type="dxa"/>
            <w:bottom w:w="0" w:type="dxa"/>
            <w:right w:w="0" w:type="dxa"/>
          </w:tblCellMar>
        </w:tblPrEx>
        <w:trPr>
          <w:trHeight w:val="556" w:hRule="atLeast"/>
          <w:tblHeader/>
          <w:jc w:val="center"/>
        </w:trPr>
        <w:tc>
          <w:tcPr>
            <w:tcW w:w="156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eastAsia="黑体" w:cs="Times New Roman"/>
                <w:kern w:val="24"/>
                <w:sz w:val="21"/>
                <w:szCs w:val="21"/>
              </w:rPr>
            </w:pPr>
            <w:r>
              <w:rPr>
                <w:rFonts w:hint="default" w:ascii="Times New Roman" w:hAnsi="Times New Roman" w:eastAsia="黑体" w:cs="Times New Roman"/>
                <w:kern w:val="24"/>
                <w:sz w:val="21"/>
                <w:szCs w:val="21"/>
              </w:rPr>
              <w:t>项目名称</w:t>
            </w:r>
          </w:p>
        </w:tc>
        <w:tc>
          <w:tcPr>
            <w:tcW w:w="2805"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eastAsia="黑体" w:cs="Times New Roman"/>
                <w:kern w:val="24"/>
                <w:sz w:val="21"/>
                <w:szCs w:val="21"/>
              </w:rPr>
            </w:pPr>
            <w:r>
              <w:rPr>
                <w:rFonts w:hint="default" w:ascii="Times New Roman" w:hAnsi="Times New Roman" w:eastAsia="黑体" w:cs="Times New Roman"/>
                <w:kern w:val="24"/>
                <w:sz w:val="21"/>
                <w:szCs w:val="21"/>
              </w:rPr>
              <w:t>建设内容</w:t>
            </w:r>
          </w:p>
        </w:tc>
        <w:tc>
          <w:tcPr>
            <w:tcW w:w="1417"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eastAsia="黑体" w:cs="Times New Roman"/>
                <w:kern w:val="24"/>
                <w:sz w:val="21"/>
                <w:szCs w:val="21"/>
              </w:rPr>
            </w:pPr>
            <w:r>
              <w:rPr>
                <w:rFonts w:hint="default" w:ascii="Times New Roman" w:hAnsi="Times New Roman" w:eastAsia="黑体" w:cs="Times New Roman"/>
                <w:kern w:val="24"/>
                <w:sz w:val="21"/>
                <w:szCs w:val="21"/>
              </w:rPr>
              <w:t>建设年限</w:t>
            </w:r>
          </w:p>
        </w:tc>
        <w:tc>
          <w:tcPr>
            <w:tcW w:w="98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eastAsia="黑体" w:cs="Times New Roman"/>
                <w:kern w:val="24"/>
                <w:sz w:val="21"/>
                <w:szCs w:val="21"/>
              </w:rPr>
            </w:pPr>
            <w:r>
              <w:rPr>
                <w:rFonts w:hint="default" w:ascii="Times New Roman" w:hAnsi="Times New Roman" w:eastAsia="黑体" w:cs="Times New Roman"/>
                <w:kern w:val="24"/>
                <w:sz w:val="21"/>
                <w:szCs w:val="21"/>
              </w:rPr>
              <w:t>建设性质</w:t>
            </w:r>
          </w:p>
        </w:tc>
        <w:tc>
          <w:tcPr>
            <w:tcW w:w="1593" w:type="dxa"/>
            <w:tcBorders>
              <w:top w:val="single" w:color="000000" w:sz="8" w:space="0"/>
              <w:left w:val="single" w:color="000000" w:sz="8" w:space="0"/>
              <w:bottom w:val="single" w:color="000000" w:sz="8" w:space="0"/>
              <w:right w:val="single" w:color="000000" w:sz="8" w:space="0"/>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eastAsia="黑体" w:cs="Times New Roman"/>
                <w:kern w:val="24"/>
                <w:sz w:val="21"/>
                <w:szCs w:val="21"/>
              </w:rPr>
            </w:pPr>
            <w:r>
              <w:rPr>
                <w:rFonts w:hint="default" w:ascii="Times New Roman" w:hAnsi="Times New Roman" w:eastAsia="黑体" w:cs="Times New Roman"/>
                <w:kern w:val="24"/>
                <w:sz w:val="21"/>
                <w:szCs w:val="21"/>
              </w:rPr>
              <w:t>总投资</w:t>
            </w:r>
          </w:p>
        </w:tc>
        <w:tc>
          <w:tcPr>
            <w:tcW w:w="11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eastAsia="黑体" w:cs="Times New Roman"/>
                <w:kern w:val="24"/>
                <w:sz w:val="21"/>
                <w:szCs w:val="21"/>
              </w:rPr>
            </w:pPr>
            <w:r>
              <w:rPr>
                <w:rFonts w:hint="default" w:ascii="Times New Roman" w:hAnsi="Times New Roman" w:eastAsia="黑体" w:cs="Times New Roman"/>
                <w:kern w:val="24"/>
                <w:sz w:val="21"/>
                <w:szCs w:val="21"/>
              </w:rPr>
              <w:t>十四五投资（亿元）</w:t>
            </w:r>
          </w:p>
        </w:tc>
      </w:tr>
      <w:tr>
        <w:tblPrEx>
          <w:tblCellMar>
            <w:top w:w="0" w:type="dxa"/>
            <w:left w:w="0" w:type="dxa"/>
            <w:bottom w:w="0" w:type="dxa"/>
            <w:right w:w="0" w:type="dxa"/>
          </w:tblCellMar>
        </w:tblPrEx>
        <w:trPr>
          <w:trHeight w:val="698" w:hRule="atLeast"/>
          <w:jc w:val="center"/>
        </w:trPr>
        <w:tc>
          <w:tcPr>
            <w:tcW w:w="156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104 国道瑞安仙降至平阳萧江段改建工程（平阳段）</w:t>
            </w:r>
          </w:p>
        </w:tc>
        <w:tc>
          <w:tcPr>
            <w:tcW w:w="2805"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rPr>
                <w:rFonts w:hint="default" w:ascii="Times New Roman" w:hAnsi="Times New Roman" w:cs="Times New Roman"/>
                <w:kern w:val="0"/>
                <w:sz w:val="21"/>
                <w:szCs w:val="21"/>
              </w:rPr>
            </w:pPr>
            <w:r>
              <w:rPr>
                <w:rFonts w:hint="default" w:ascii="Times New Roman" w:hAnsi="Times New Roman" w:cs="Times New Roman"/>
                <w:sz w:val="21"/>
                <w:szCs w:val="21"/>
              </w:rPr>
              <w:t>平阳段主线全长27.151公里，宽32米，双向6车道，设计速度80公里/小时，按照一级公路标准建设；昆阳连接线长2.52公里，水头连接线长13.29公里。</w:t>
            </w:r>
          </w:p>
        </w:tc>
        <w:tc>
          <w:tcPr>
            <w:tcW w:w="1417"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2016-2021</w:t>
            </w:r>
          </w:p>
        </w:tc>
        <w:tc>
          <w:tcPr>
            <w:tcW w:w="98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续建</w:t>
            </w:r>
          </w:p>
        </w:tc>
        <w:tc>
          <w:tcPr>
            <w:tcW w:w="159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45.9</w:t>
            </w:r>
          </w:p>
        </w:tc>
        <w:tc>
          <w:tcPr>
            <w:tcW w:w="11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6</w:t>
            </w:r>
          </w:p>
        </w:tc>
      </w:tr>
      <w:tr>
        <w:tblPrEx>
          <w:tblCellMar>
            <w:top w:w="0" w:type="dxa"/>
            <w:left w:w="0" w:type="dxa"/>
            <w:bottom w:w="0" w:type="dxa"/>
            <w:right w:w="0" w:type="dxa"/>
          </w:tblCellMar>
        </w:tblPrEx>
        <w:trPr>
          <w:trHeight w:val="895" w:hRule="atLeast"/>
          <w:jc w:val="center"/>
        </w:trPr>
        <w:tc>
          <w:tcPr>
            <w:tcW w:w="156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228国道平阳榆</w:t>
            </w:r>
            <w:r>
              <w:rPr>
                <w:rFonts w:hint="default" w:ascii="Times New Roman" w:hAnsi="Times New Roman" w:eastAsia="微软雅黑" w:cs="Times New Roman"/>
                <w:kern w:val="24"/>
                <w:sz w:val="21"/>
                <w:szCs w:val="21"/>
              </w:rPr>
              <w:t>垟</w:t>
            </w:r>
            <w:r>
              <w:rPr>
                <w:rFonts w:hint="default" w:ascii="Times New Roman" w:hAnsi="Times New Roman" w:cs="Times New Roman"/>
                <w:kern w:val="24"/>
                <w:sz w:val="21"/>
                <w:szCs w:val="21"/>
              </w:rPr>
              <w:t>至鳌江段公路工程</w:t>
            </w:r>
          </w:p>
        </w:tc>
        <w:tc>
          <w:tcPr>
            <w:tcW w:w="2805"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rPr>
                <w:rFonts w:hint="default" w:ascii="Times New Roman" w:hAnsi="Times New Roman" w:eastAsia="宋体" w:cs="Times New Roman"/>
                <w:kern w:val="0"/>
                <w:sz w:val="21"/>
                <w:szCs w:val="21"/>
              </w:rPr>
            </w:pPr>
            <w:r>
              <w:rPr>
                <w:rFonts w:hint="default" w:ascii="Times New Roman" w:hAnsi="Times New Roman" w:cs="Times New Roman"/>
                <w:sz w:val="21"/>
                <w:szCs w:val="21"/>
              </w:rPr>
              <w:t>一级公路标准，设置双向四车道，全长约500米，设中桥一座60米。</w:t>
            </w:r>
          </w:p>
        </w:tc>
        <w:tc>
          <w:tcPr>
            <w:tcW w:w="1417"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2017-2021</w:t>
            </w:r>
          </w:p>
        </w:tc>
        <w:tc>
          <w:tcPr>
            <w:tcW w:w="98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续建</w:t>
            </w:r>
          </w:p>
        </w:tc>
        <w:tc>
          <w:tcPr>
            <w:tcW w:w="159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18.1</w:t>
            </w:r>
          </w:p>
        </w:tc>
        <w:tc>
          <w:tcPr>
            <w:tcW w:w="11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0.8</w:t>
            </w:r>
          </w:p>
        </w:tc>
      </w:tr>
      <w:tr>
        <w:tblPrEx>
          <w:tblCellMar>
            <w:top w:w="0" w:type="dxa"/>
            <w:left w:w="0" w:type="dxa"/>
            <w:bottom w:w="0" w:type="dxa"/>
            <w:right w:w="0" w:type="dxa"/>
          </w:tblCellMar>
        </w:tblPrEx>
        <w:trPr>
          <w:trHeight w:val="512" w:hRule="atLeast"/>
          <w:jc w:val="center"/>
        </w:trPr>
        <w:tc>
          <w:tcPr>
            <w:tcW w:w="156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S218 安吉至龙港公路平阳腾蛟至萧江段工程（前期）</w:t>
            </w:r>
          </w:p>
        </w:tc>
        <w:tc>
          <w:tcPr>
            <w:tcW w:w="2805"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rPr>
                <w:rFonts w:hint="default" w:ascii="Times New Roman" w:hAnsi="Times New Roman" w:eastAsia="宋体" w:cs="Times New Roman"/>
                <w:kern w:val="0"/>
                <w:sz w:val="21"/>
                <w:szCs w:val="21"/>
              </w:rPr>
            </w:pPr>
            <w:r>
              <w:rPr>
                <w:rFonts w:hint="default" w:ascii="Times New Roman" w:hAnsi="Times New Roman" w:cs="Times New Roman"/>
                <w:sz w:val="21"/>
                <w:szCs w:val="21"/>
              </w:rPr>
              <w:t>全长33.126公里（利用104国道5.265公里），双向四车道一级公路。分段分期建设。连接线共长3.668公里。</w:t>
            </w:r>
          </w:p>
        </w:tc>
        <w:tc>
          <w:tcPr>
            <w:tcW w:w="1417"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2023-2027</w:t>
            </w:r>
          </w:p>
        </w:tc>
        <w:tc>
          <w:tcPr>
            <w:tcW w:w="98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新建</w:t>
            </w:r>
          </w:p>
        </w:tc>
        <w:tc>
          <w:tcPr>
            <w:tcW w:w="159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30.9</w:t>
            </w:r>
          </w:p>
        </w:tc>
        <w:tc>
          <w:tcPr>
            <w:tcW w:w="11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w:t>
            </w:r>
          </w:p>
        </w:tc>
      </w:tr>
      <w:tr>
        <w:tblPrEx>
          <w:tblCellMar>
            <w:top w:w="0" w:type="dxa"/>
            <w:left w:w="0" w:type="dxa"/>
            <w:bottom w:w="0" w:type="dxa"/>
            <w:right w:w="0" w:type="dxa"/>
          </w:tblCellMar>
        </w:tblPrEx>
        <w:trPr>
          <w:trHeight w:val="512" w:hRule="atLeast"/>
          <w:jc w:val="center"/>
        </w:trPr>
        <w:tc>
          <w:tcPr>
            <w:tcW w:w="156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S219 临安至苍南公路平阳怀溪至闹村段工程（前期）</w:t>
            </w:r>
          </w:p>
        </w:tc>
        <w:tc>
          <w:tcPr>
            <w:tcW w:w="2805"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rPr>
                <w:rFonts w:hint="default" w:ascii="Times New Roman" w:hAnsi="Times New Roman" w:cs="Times New Roman"/>
                <w:kern w:val="24"/>
                <w:sz w:val="21"/>
                <w:szCs w:val="21"/>
              </w:rPr>
            </w:pPr>
            <w:r>
              <w:rPr>
                <w:rFonts w:hint="default" w:ascii="Times New Roman" w:hAnsi="Times New Roman" w:cs="Times New Roman"/>
                <w:sz w:val="21"/>
                <w:szCs w:val="21"/>
              </w:rPr>
              <w:t>全长33.71公里，双向四车道一级公路。分段分期建设。</w:t>
            </w:r>
          </w:p>
        </w:tc>
        <w:tc>
          <w:tcPr>
            <w:tcW w:w="1417"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pStyle w:val="1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仿宋_GB2312" w:cs="Times New Roman"/>
                <w:kern w:val="24"/>
                <w:sz w:val="21"/>
                <w:szCs w:val="21"/>
              </w:rPr>
            </w:pPr>
            <w:r>
              <w:rPr>
                <w:rFonts w:hint="default" w:ascii="Times New Roman" w:hAnsi="Times New Roman" w:eastAsia="仿宋_GB2312" w:cs="Times New Roman"/>
                <w:kern w:val="24"/>
                <w:sz w:val="21"/>
                <w:szCs w:val="21"/>
              </w:rPr>
              <w:t>2023-</w:t>
            </w:r>
            <w:r>
              <w:rPr>
                <w:rFonts w:hint="default" w:ascii="Times New Roman" w:hAnsi="Times New Roman" w:cs="Times New Roman"/>
                <w:kern w:val="24"/>
                <w:sz w:val="21"/>
                <w:szCs w:val="21"/>
              </w:rPr>
              <w:t>2027</w:t>
            </w:r>
          </w:p>
        </w:tc>
        <w:tc>
          <w:tcPr>
            <w:tcW w:w="98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新建</w:t>
            </w:r>
          </w:p>
        </w:tc>
        <w:tc>
          <w:tcPr>
            <w:tcW w:w="159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38.8</w:t>
            </w:r>
          </w:p>
        </w:tc>
        <w:tc>
          <w:tcPr>
            <w:tcW w:w="11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w:t>
            </w:r>
          </w:p>
        </w:tc>
      </w:tr>
    </w:tbl>
    <w:p>
      <w:pPr>
        <w:pStyle w:val="21"/>
        <w:keepNext w:val="0"/>
        <w:keepLines w:val="0"/>
        <w:pageBreakBefore w:val="0"/>
        <w:widowControl w:val="0"/>
        <w:numPr>
          <w:ilvl w:val="0"/>
          <w:numId w:val="0"/>
        </w:numPr>
        <w:kinsoku/>
        <w:wordWrap/>
        <w:overflowPunct/>
        <w:topLinePunct w:val="0"/>
        <w:autoSpaceDE/>
        <w:autoSpaceDN/>
        <w:bidi w:val="0"/>
        <w:adjustRightInd/>
        <w:snapToGrid w:val="0"/>
        <w:textAlignment w:val="auto"/>
        <w:rPr>
          <w:rFonts w:hint="default" w:ascii="Times New Roman" w:hAnsi="Times New Roman" w:eastAsia="仿宋_GB2312" w:cs="Times New Roman"/>
          <w:b/>
          <w:bCs/>
          <w:sz w:val="32"/>
          <w:szCs w:val="32"/>
        </w:rPr>
      </w:pPr>
    </w:p>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表5-4</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平阳县“十四五”时期重要县道项目表</w:t>
      </w:r>
    </w:p>
    <w:tbl>
      <w:tblPr>
        <w:tblStyle w:val="16"/>
        <w:tblW w:w="95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6"/>
        <w:gridCol w:w="1184"/>
        <w:gridCol w:w="2482"/>
        <w:gridCol w:w="1466"/>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5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kern w:val="24"/>
                <w:sz w:val="21"/>
                <w:szCs w:val="21"/>
              </w:rPr>
            </w:pPr>
            <w:r>
              <w:rPr>
                <w:rFonts w:hint="default" w:ascii="Times New Roman" w:hAnsi="Times New Roman" w:cs="Times New Roman"/>
                <w:kern w:val="24"/>
                <w:sz w:val="21"/>
                <w:szCs w:val="21"/>
              </w:rPr>
              <w:t>项目名称</w:t>
            </w:r>
          </w:p>
        </w:tc>
        <w:tc>
          <w:tcPr>
            <w:tcW w:w="118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kern w:val="24"/>
                <w:sz w:val="21"/>
                <w:szCs w:val="21"/>
              </w:rPr>
            </w:pPr>
            <w:r>
              <w:rPr>
                <w:rFonts w:hint="default" w:ascii="Times New Roman" w:hAnsi="Times New Roman" w:cs="Times New Roman"/>
                <w:kern w:val="24"/>
                <w:sz w:val="21"/>
                <w:szCs w:val="21"/>
              </w:rPr>
              <w:t>建设性质</w:t>
            </w:r>
          </w:p>
        </w:tc>
        <w:tc>
          <w:tcPr>
            <w:tcW w:w="248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kern w:val="24"/>
                <w:sz w:val="21"/>
                <w:szCs w:val="21"/>
              </w:rPr>
            </w:pPr>
            <w:r>
              <w:rPr>
                <w:rFonts w:hint="default" w:ascii="Times New Roman" w:hAnsi="Times New Roman" w:cs="Times New Roman"/>
                <w:kern w:val="24"/>
                <w:sz w:val="21"/>
                <w:szCs w:val="21"/>
              </w:rPr>
              <w:t>建设规模</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kern w:val="24"/>
                <w:sz w:val="21"/>
                <w:szCs w:val="21"/>
              </w:rPr>
            </w:pPr>
            <w:r>
              <w:rPr>
                <w:rFonts w:hint="default" w:ascii="Times New Roman" w:hAnsi="Times New Roman" w:cs="Times New Roman"/>
                <w:kern w:val="24"/>
                <w:sz w:val="21"/>
                <w:szCs w:val="21"/>
              </w:rPr>
              <w:t>总投资</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kern w:val="24"/>
                <w:sz w:val="21"/>
                <w:szCs w:val="21"/>
              </w:rPr>
            </w:pPr>
            <w:r>
              <w:rPr>
                <w:rFonts w:hint="default" w:ascii="Times New Roman" w:hAnsi="Times New Roman" w:cs="Times New Roman"/>
                <w:kern w:val="24"/>
                <w:sz w:val="21"/>
                <w:szCs w:val="21"/>
              </w:rPr>
              <w:t>（亿元）</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kern w:val="24"/>
                <w:sz w:val="21"/>
                <w:szCs w:val="21"/>
              </w:rPr>
            </w:pPr>
            <w:r>
              <w:rPr>
                <w:rFonts w:hint="default" w:ascii="Times New Roman" w:hAnsi="Times New Roman" w:cs="Times New Roman"/>
                <w:kern w:val="24"/>
                <w:sz w:val="21"/>
                <w:szCs w:val="21"/>
              </w:rPr>
              <w:t>“十四五”投资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5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港站城大道一期（鳌江火车站至昆阳）工程</w:t>
            </w:r>
          </w:p>
        </w:tc>
        <w:tc>
          <w:tcPr>
            <w:tcW w:w="118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2482"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000000"/>
                <w:kern w:val="0"/>
                <w:sz w:val="21"/>
                <w:szCs w:val="21"/>
              </w:rPr>
            </w:pPr>
            <w:r>
              <w:rPr>
                <w:rFonts w:hint="default" w:ascii="Times New Roman" w:hAnsi="Times New Roman" w:cs="Times New Roman"/>
                <w:sz w:val="21"/>
                <w:szCs w:val="21"/>
              </w:rPr>
              <w:t>路线全长3.1公里，采用双向两车道四级公路标准，路基宽度8米，设隧道一座长2121m</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6.79</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5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港站城大道二期（鳌江火车站至鳌江互通段）</w:t>
            </w:r>
          </w:p>
        </w:tc>
        <w:tc>
          <w:tcPr>
            <w:tcW w:w="118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2482"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000000"/>
                <w:kern w:val="0"/>
                <w:sz w:val="21"/>
                <w:szCs w:val="21"/>
              </w:rPr>
            </w:pPr>
            <w:r>
              <w:rPr>
                <w:rFonts w:hint="default" w:ascii="Times New Roman" w:hAnsi="Times New Roman" w:cs="Times New Roman"/>
                <w:sz w:val="21"/>
                <w:szCs w:val="21"/>
              </w:rPr>
              <w:t>全长约3.799km，采用双向四车道一级公路标准，路基宽度24.5m。</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7.7</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5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古盘山快速通道（新园路至胜利东路段建设工程）</w:t>
            </w:r>
          </w:p>
        </w:tc>
        <w:tc>
          <w:tcPr>
            <w:tcW w:w="118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248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6.7 公里</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9.8</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5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胜利路东延段（墨城互通至横山大道）工程</w:t>
            </w:r>
          </w:p>
        </w:tc>
        <w:tc>
          <w:tcPr>
            <w:tcW w:w="118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248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1.15 公里</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2.14</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5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瑞平苍高速至南雁荡山景区北线工程</w:t>
            </w:r>
          </w:p>
        </w:tc>
        <w:tc>
          <w:tcPr>
            <w:tcW w:w="118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248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2.23公里</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6.5</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5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瑞平苍高速至南雁荡山景区南线工程</w:t>
            </w:r>
          </w:p>
        </w:tc>
        <w:tc>
          <w:tcPr>
            <w:tcW w:w="118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248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3.41公里</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4.5</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5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228国道至昆鳌大道连接线工程</w:t>
            </w:r>
          </w:p>
        </w:tc>
        <w:tc>
          <w:tcPr>
            <w:tcW w:w="118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2482"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000000"/>
                <w:kern w:val="0"/>
                <w:sz w:val="21"/>
                <w:szCs w:val="21"/>
              </w:rPr>
            </w:pPr>
            <w:r>
              <w:rPr>
                <w:rFonts w:hint="default" w:ascii="Times New Roman" w:hAnsi="Times New Roman" w:cs="Times New Roman"/>
                <w:sz w:val="21"/>
                <w:szCs w:val="21"/>
              </w:rPr>
              <w:t>一级公路标准，设置双向四车道，全长约500米，设中桥一座60米。</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0.58</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5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萧龙线提升工程</w:t>
            </w:r>
          </w:p>
        </w:tc>
        <w:tc>
          <w:tcPr>
            <w:tcW w:w="118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2482"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二级公路 0.68公里</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0.68</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5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麻步镇至104国道西过境连接线工程</w:t>
            </w:r>
          </w:p>
        </w:tc>
        <w:tc>
          <w:tcPr>
            <w:tcW w:w="118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248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2.0公里</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1.5</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5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水头滨江大道新建工程</w:t>
            </w:r>
          </w:p>
        </w:tc>
        <w:tc>
          <w:tcPr>
            <w:tcW w:w="118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248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二级公路 2.8 公里</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w:t>
            </w:r>
          </w:p>
        </w:tc>
      </w:tr>
    </w:tbl>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4．完善城市路网与周边县市城市快速通道衔接，促进昆鳌一体化发展</w:t>
      </w:r>
    </w:p>
    <w:p>
      <w:pPr>
        <w:keepNext w:val="0"/>
        <w:keepLines w:val="0"/>
        <w:pageBreakBefore w:val="0"/>
        <w:widowControl w:val="0"/>
        <w:kinsoku/>
        <w:wordWrap/>
        <w:overflowPunct/>
        <w:topLinePunct w:val="0"/>
        <w:autoSpaceDE/>
        <w:autoSpaceDN/>
        <w:bidi w:val="0"/>
        <w:adjustRightInd/>
        <w:spacing w:line="560" w:lineRule="exact"/>
        <w:ind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加快建设昆鳌一体化交通中心以昆鳌大道、车站大道、滨江大道为发展轴线，加快推进城东新区、滨江商务区等重点片区的城市交通路网设施建设，通过交通走廊和综合交通枢纽的设置、整合，协调一体化综合交通体系，构筑一体化综合交通体系模式，打造昆鳌“15分钟交通通勤圈”，打造与瑞安、龙港、苍南打造“30分钟交通走廊带”。</w:t>
      </w:r>
    </w:p>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4791075" cy="3952875"/>
            <wp:effectExtent l="0" t="0" r="9525" b="9525"/>
            <wp:docPr id="57" name="图片 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55"/>
                    <pic:cNvPicPr>
                      <a:picLocks noChangeAspect="true"/>
                    </pic:cNvPicPr>
                  </pic:nvPicPr>
                  <pic:blipFill>
                    <a:blip r:embed="rId24"/>
                    <a:stretch>
                      <a:fillRect/>
                    </a:stretch>
                  </pic:blipFill>
                  <pic:spPr>
                    <a:xfrm>
                      <a:off x="0" y="0"/>
                      <a:ext cx="4791075" cy="3952875"/>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图5-1</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昆鳌协同发展区示意图</w:t>
      </w:r>
    </w:p>
    <w:p>
      <w:pPr>
        <w:keepNext w:val="0"/>
        <w:keepLines w:val="0"/>
        <w:pageBreakBefore w:val="0"/>
        <w:widowControl w:val="0"/>
        <w:kinsoku/>
        <w:wordWrap/>
        <w:overflowPunct/>
        <w:topLinePunct w:val="0"/>
        <w:autoSpaceDE/>
        <w:autoSpaceDN/>
        <w:bidi w:val="0"/>
        <w:adjustRightInd/>
        <w:spacing w:line="560" w:lineRule="exact"/>
        <w:ind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结合与万鳌大道、车站大道、东海大道等门户交通轴带，强化跨区域协同发展，对内突出平阳交通枢纽地位。对外北融市区、南连苍南、西引文泰，加快温瑞快速路延申工程、鳌江二桥工程建设，推进平阳高铁站至龙港快速路，至昆阳、水头、萧江、万全快速路，至瑞安曹村、苍南江南片区以及泰顺、文成等快速通道研究。远期谋划鳌江新城至龙港中运量轨道交通。</w:t>
      </w:r>
    </w:p>
    <w:p>
      <w:pPr>
        <w:keepNext w:val="0"/>
        <w:keepLines w:val="0"/>
        <w:pageBreakBefore w:val="0"/>
        <w:widowControl w:val="0"/>
        <w:kinsoku/>
        <w:wordWrap/>
        <w:overflowPunct/>
        <w:topLinePunct w:val="0"/>
        <w:autoSpaceDE/>
        <w:autoSpaceDN/>
        <w:bidi w:val="0"/>
        <w:adjustRightInd/>
        <w:snapToGrid w:val="0"/>
        <w:spacing w:before="157" w:beforeLines="50" w:line="240" w:lineRule="auto"/>
        <w:ind w:firstLine="0" w:firstLineChars="0"/>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2747645" cy="1440180"/>
            <wp:effectExtent l="0" t="0" r="14605" b="7620"/>
            <wp:docPr id="58" name="图片 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56"/>
                    <pic:cNvPicPr>
                      <a:picLocks noChangeAspect="true"/>
                    </pic:cNvPicPr>
                  </pic:nvPicPr>
                  <pic:blipFill>
                    <a:blip r:embed="rId25"/>
                    <a:stretch>
                      <a:fillRect/>
                    </a:stretch>
                  </pic:blipFill>
                  <pic:spPr>
                    <a:xfrm>
                      <a:off x="0" y="0"/>
                      <a:ext cx="2747645" cy="1440180"/>
                    </a:xfrm>
                    <a:prstGeom prst="rect">
                      <a:avLst/>
                    </a:prstGeom>
                    <a:noFill/>
                    <a:ln>
                      <a:noFill/>
                    </a:ln>
                  </pic:spPr>
                </pic:pic>
              </a:graphicData>
            </a:graphic>
          </wp:inline>
        </w:drawing>
      </w:r>
      <w:r>
        <w:rPr>
          <w:rFonts w:hint="default" w:ascii="Times New Roman" w:hAnsi="Times New Roman" w:cs="Times New Roman"/>
          <w:sz w:val="32"/>
          <w:szCs w:val="32"/>
        </w:rPr>
        <w:drawing>
          <wp:inline distT="0" distB="0" distL="114300" distR="114300">
            <wp:extent cx="2533650" cy="1440180"/>
            <wp:effectExtent l="0" t="0" r="0" b="7620"/>
            <wp:docPr id="59" name="图片 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57"/>
                    <pic:cNvPicPr>
                      <a:picLocks noChangeAspect="true"/>
                    </pic:cNvPicPr>
                  </pic:nvPicPr>
                  <pic:blipFill>
                    <a:blip r:embed="rId26"/>
                    <a:stretch>
                      <a:fillRect/>
                    </a:stretch>
                  </pic:blipFill>
                  <pic:spPr>
                    <a:xfrm>
                      <a:off x="0" y="0"/>
                      <a:ext cx="2533650" cy="1440180"/>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图5-2平阳县与周边县市道路网衔接图</w:t>
      </w:r>
    </w:p>
    <w:p>
      <w:pPr>
        <w:keepNext w:val="0"/>
        <w:keepLines w:val="0"/>
        <w:pageBreakBefore w:val="0"/>
        <w:widowControl w:val="0"/>
        <w:kinsoku/>
        <w:wordWrap/>
        <w:overflowPunct/>
        <w:topLinePunct w:val="0"/>
        <w:autoSpaceDE/>
        <w:autoSpaceDN/>
        <w:bidi w:val="0"/>
        <w:adjustRightInd/>
        <w:spacing w:line="560" w:lineRule="exact"/>
        <w:ind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5．推动西部地区美丽公路建设。</w:t>
      </w:r>
    </w:p>
    <w:p>
      <w:pPr>
        <w:keepNext w:val="0"/>
        <w:keepLines w:val="0"/>
        <w:pageBreakBefore w:val="0"/>
        <w:widowControl w:val="0"/>
        <w:kinsoku/>
        <w:wordWrap/>
        <w:overflowPunct/>
        <w:topLinePunct w:val="0"/>
        <w:autoSpaceDE/>
        <w:autoSpaceDN/>
        <w:bidi w:val="0"/>
        <w:adjustRightInd/>
        <w:spacing w:line="560" w:lineRule="exact"/>
        <w:ind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扎实推进美丽经济交通走廊建设，全面实行县、乡镇、村三级道路路长制，提升城乡运输服务一体化水平。持续深化四好农村路建设，因地制宜、有序推进乡道提级改造、村道单车道拓宽改造以及县乡村联网路建设，基本实现有条件的较大自然村通硬化公路以及边远山村通达公路。推进美丽公路建设，改善乡村旅游交通基础设施条件，支持乡村旅游发展。加快推进绿道网建设，实现省级绿道 3 号线县域内绿道 48.9 公里贯通，省级绿道 8 号线县域内绿道 82.3 公里贯通。持续推进农村公路安保工程、危桥改造等，改善安全通行条件，促进农村公路建管养运协调发展。到2025年基本实现有条件的较大自然村通硬化公路以及边远山村通达公路。推进美丽公路建设，改善乡村旅游交通基础设施条件，支持乡村旅游发展。持续推进农村公路安保工程、危桥改造等，改善安全通行条件，促进农村公路建管养运协调发展。</w:t>
      </w:r>
    </w:p>
    <w:p>
      <w:pPr>
        <w:pStyle w:val="2"/>
        <w:rPr>
          <w:rFonts w:hint="default" w:ascii="Times New Roman" w:hAnsi="Times New Roman" w:cs="Times New Roman"/>
        </w:rPr>
      </w:pP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表5-3</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平阳县“十四五”时期重要农村公路建设项目表</w:t>
      </w:r>
    </w:p>
    <w:tbl>
      <w:tblPr>
        <w:tblStyle w:val="16"/>
        <w:tblW w:w="8901" w:type="dxa"/>
        <w:jc w:val="center"/>
        <w:tblLayout w:type="fixed"/>
        <w:tblCellMar>
          <w:top w:w="0" w:type="dxa"/>
          <w:left w:w="0" w:type="dxa"/>
          <w:bottom w:w="0" w:type="dxa"/>
          <w:right w:w="0" w:type="dxa"/>
        </w:tblCellMar>
      </w:tblPr>
      <w:tblGrid>
        <w:gridCol w:w="1800"/>
        <w:gridCol w:w="1207"/>
        <w:gridCol w:w="2840"/>
        <w:gridCol w:w="1359"/>
        <w:gridCol w:w="1695"/>
      </w:tblGrid>
      <w:tr>
        <w:tblPrEx>
          <w:tblCellMar>
            <w:top w:w="0" w:type="dxa"/>
            <w:left w:w="0" w:type="dxa"/>
            <w:bottom w:w="0" w:type="dxa"/>
            <w:right w:w="0" w:type="dxa"/>
          </w:tblCellMar>
        </w:tblPrEx>
        <w:trPr>
          <w:trHeight w:val="558" w:hRule="atLeast"/>
          <w:jc w:val="center"/>
        </w:trPr>
        <w:tc>
          <w:tcPr>
            <w:tcW w:w="180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黑体" w:cs="Times New Roman"/>
                <w:kern w:val="24"/>
                <w:sz w:val="21"/>
                <w:szCs w:val="21"/>
              </w:rPr>
            </w:pPr>
            <w:r>
              <w:rPr>
                <w:rFonts w:hint="default" w:ascii="Times New Roman" w:hAnsi="Times New Roman" w:eastAsia="黑体" w:cs="Times New Roman"/>
                <w:kern w:val="24"/>
                <w:sz w:val="21"/>
                <w:szCs w:val="21"/>
              </w:rPr>
              <w:t>项目名称</w:t>
            </w:r>
          </w:p>
        </w:tc>
        <w:tc>
          <w:tcPr>
            <w:tcW w:w="120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黑体" w:cs="Times New Roman"/>
                <w:kern w:val="24"/>
                <w:sz w:val="21"/>
                <w:szCs w:val="21"/>
              </w:rPr>
            </w:pPr>
            <w:r>
              <w:rPr>
                <w:rFonts w:hint="default" w:ascii="Times New Roman" w:hAnsi="Times New Roman" w:eastAsia="黑体" w:cs="Times New Roman"/>
                <w:kern w:val="24"/>
                <w:sz w:val="21"/>
                <w:szCs w:val="21"/>
              </w:rPr>
              <w:t>建设性质</w:t>
            </w:r>
          </w:p>
        </w:tc>
        <w:tc>
          <w:tcPr>
            <w:tcW w:w="284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黑体" w:cs="Times New Roman"/>
                <w:kern w:val="24"/>
                <w:sz w:val="21"/>
                <w:szCs w:val="21"/>
              </w:rPr>
            </w:pPr>
            <w:r>
              <w:rPr>
                <w:rFonts w:hint="default" w:ascii="Times New Roman" w:hAnsi="Times New Roman" w:eastAsia="黑体" w:cs="Times New Roman"/>
                <w:kern w:val="24"/>
                <w:sz w:val="21"/>
                <w:szCs w:val="21"/>
              </w:rPr>
              <w:t>建设规模</w:t>
            </w:r>
          </w:p>
        </w:tc>
        <w:tc>
          <w:tcPr>
            <w:tcW w:w="135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黑体" w:cs="Times New Roman"/>
                <w:kern w:val="24"/>
                <w:sz w:val="21"/>
                <w:szCs w:val="21"/>
              </w:rPr>
            </w:pPr>
            <w:r>
              <w:rPr>
                <w:rFonts w:hint="default" w:ascii="Times New Roman" w:hAnsi="Times New Roman" w:eastAsia="黑体" w:cs="Times New Roman"/>
                <w:kern w:val="24"/>
                <w:sz w:val="21"/>
                <w:szCs w:val="21"/>
              </w:rPr>
              <w:t>总投资（亿元）</w:t>
            </w:r>
          </w:p>
        </w:tc>
        <w:tc>
          <w:tcPr>
            <w:tcW w:w="1695"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黑体" w:cs="Times New Roman"/>
                <w:kern w:val="24"/>
                <w:sz w:val="21"/>
                <w:szCs w:val="21"/>
              </w:rPr>
            </w:pPr>
            <w:r>
              <w:rPr>
                <w:rFonts w:hint="default" w:ascii="Times New Roman" w:hAnsi="Times New Roman" w:eastAsia="黑体" w:cs="Times New Roman"/>
                <w:kern w:val="24"/>
                <w:sz w:val="21"/>
                <w:szCs w:val="21"/>
              </w:rPr>
              <w:t>“十四五”投资</w:t>
            </w:r>
          </w:p>
        </w:tc>
      </w:tr>
      <w:tr>
        <w:tblPrEx>
          <w:tblCellMar>
            <w:top w:w="0" w:type="dxa"/>
            <w:left w:w="0" w:type="dxa"/>
            <w:bottom w:w="0" w:type="dxa"/>
            <w:right w:w="0" w:type="dxa"/>
          </w:tblCellMar>
        </w:tblPrEx>
        <w:trPr>
          <w:trHeight w:val="698" w:hRule="atLeast"/>
          <w:jc w:val="center"/>
        </w:trPr>
        <w:tc>
          <w:tcPr>
            <w:tcW w:w="180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平阳县蒲山至满田农村道路提升工程</w:t>
            </w:r>
          </w:p>
        </w:tc>
        <w:tc>
          <w:tcPr>
            <w:tcW w:w="120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cs="Times New Roman"/>
                <w:sz w:val="21"/>
                <w:szCs w:val="21"/>
              </w:rPr>
              <w:t>续建</w:t>
            </w:r>
          </w:p>
        </w:tc>
        <w:tc>
          <w:tcPr>
            <w:tcW w:w="284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四级公路 7.78公里</w:t>
            </w:r>
          </w:p>
        </w:tc>
        <w:tc>
          <w:tcPr>
            <w:tcW w:w="135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1.27</w:t>
            </w:r>
          </w:p>
        </w:tc>
        <w:tc>
          <w:tcPr>
            <w:tcW w:w="1695"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0.37</w:t>
            </w:r>
          </w:p>
        </w:tc>
      </w:tr>
      <w:tr>
        <w:tblPrEx>
          <w:tblCellMar>
            <w:top w:w="0" w:type="dxa"/>
            <w:left w:w="0" w:type="dxa"/>
            <w:bottom w:w="0" w:type="dxa"/>
            <w:right w:w="0" w:type="dxa"/>
          </w:tblCellMar>
        </w:tblPrEx>
        <w:trPr>
          <w:trHeight w:val="895" w:hRule="atLeast"/>
          <w:jc w:val="center"/>
        </w:trPr>
        <w:tc>
          <w:tcPr>
            <w:tcW w:w="180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平阳县水头镇鹏山村至新溪村农村道路改造提升工程</w:t>
            </w:r>
          </w:p>
        </w:tc>
        <w:tc>
          <w:tcPr>
            <w:tcW w:w="120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cs="Times New Roman"/>
                <w:sz w:val="21"/>
                <w:szCs w:val="21"/>
              </w:rPr>
              <w:t>续建</w:t>
            </w:r>
          </w:p>
        </w:tc>
        <w:tc>
          <w:tcPr>
            <w:tcW w:w="284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四级公路 4.08 公里</w:t>
            </w:r>
          </w:p>
        </w:tc>
        <w:tc>
          <w:tcPr>
            <w:tcW w:w="135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0.82</w:t>
            </w:r>
          </w:p>
        </w:tc>
        <w:tc>
          <w:tcPr>
            <w:tcW w:w="1695"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0.09</w:t>
            </w:r>
          </w:p>
        </w:tc>
      </w:tr>
      <w:tr>
        <w:tblPrEx>
          <w:tblCellMar>
            <w:top w:w="0" w:type="dxa"/>
            <w:left w:w="0" w:type="dxa"/>
            <w:bottom w:w="0" w:type="dxa"/>
            <w:right w:w="0" w:type="dxa"/>
          </w:tblCellMar>
        </w:tblPrEx>
        <w:trPr>
          <w:trHeight w:val="512" w:hRule="atLeast"/>
          <w:jc w:val="center"/>
        </w:trPr>
        <w:tc>
          <w:tcPr>
            <w:tcW w:w="180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平阳县顺溪镇岭后村至顺溪村农村道路提升改造工程</w:t>
            </w:r>
          </w:p>
        </w:tc>
        <w:tc>
          <w:tcPr>
            <w:tcW w:w="120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cs="Times New Roman"/>
                <w:sz w:val="21"/>
                <w:szCs w:val="21"/>
              </w:rPr>
              <w:t>续建</w:t>
            </w:r>
          </w:p>
        </w:tc>
        <w:tc>
          <w:tcPr>
            <w:tcW w:w="284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四级公路 10.08 公里</w:t>
            </w:r>
          </w:p>
        </w:tc>
        <w:tc>
          <w:tcPr>
            <w:tcW w:w="135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0.89</w:t>
            </w:r>
          </w:p>
        </w:tc>
        <w:tc>
          <w:tcPr>
            <w:tcW w:w="1695"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0.25</w:t>
            </w:r>
          </w:p>
        </w:tc>
      </w:tr>
      <w:tr>
        <w:tblPrEx>
          <w:tblCellMar>
            <w:top w:w="0" w:type="dxa"/>
            <w:left w:w="0" w:type="dxa"/>
            <w:bottom w:w="0" w:type="dxa"/>
            <w:right w:w="0" w:type="dxa"/>
          </w:tblCellMar>
        </w:tblPrEx>
        <w:trPr>
          <w:trHeight w:val="512" w:hRule="atLeast"/>
          <w:jc w:val="center"/>
        </w:trPr>
        <w:tc>
          <w:tcPr>
            <w:tcW w:w="180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环南雁荡山景区道路工程一期(青街乡青街村至脑村乡上仕浪村农村道路提升改造工程)</w:t>
            </w:r>
          </w:p>
        </w:tc>
        <w:tc>
          <w:tcPr>
            <w:tcW w:w="120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新建</w:t>
            </w:r>
          </w:p>
        </w:tc>
        <w:tc>
          <w:tcPr>
            <w:tcW w:w="284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kern w:val="24"/>
                <w:sz w:val="21"/>
                <w:szCs w:val="21"/>
              </w:rPr>
            </w:pPr>
            <w:r>
              <w:rPr>
                <w:rFonts w:hint="default" w:ascii="Times New Roman" w:hAnsi="Times New Roman" w:cs="Times New Roman"/>
                <w:sz w:val="21"/>
                <w:szCs w:val="21"/>
              </w:rPr>
              <w:t>三级公路 9.6公里</w:t>
            </w:r>
          </w:p>
        </w:tc>
        <w:tc>
          <w:tcPr>
            <w:tcW w:w="135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6.69</w:t>
            </w:r>
          </w:p>
        </w:tc>
        <w:tc>
          <w:tcPr>
            <w:tcW w:w="1695"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6.69</w:t>
            </w:r>
          </w:p>
        </w:tc>
      </w:tr>
      <w:tr>
        <w:tblPrEx>
          <w:tblCellMar>
            <w:top w:w="0" w:type="dxa"/>
            <w:left w:w="0" w:type="dxa"/>
            <w:bottom w:w="0" w:type="dxa"/>
            <w:right w:w="0" w:type="dxa"/>
          </w:tblCellMar>
        </w:tblPrEx>
        <w:trPr>
          <w:trHeight w:val="512" w:hRule="atLeast"/>
          <w:jc w:val="center"/>
        </w:trPr>
        <w:tc>
          <w:tcPr>
            <w:tcW w:w="180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cs="Times New Roman"/>
                <w:sz w:val="21"/>
                <w:szCs w:val="21"/>
              </w:rPr>
              <w:t>平阳苔湖至维新农村道路提升改造工程</w:t>
            </w:r>
          </w:p>
        </w:tc>
        <w:tc>
          <w:tcPr>
            <w:tcW w:w="120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cs="Times New Roman"/>
                <w:sz w:val="21"/>
                <w:szCs w:val="21"/>
              </w:rPr>
              <w:t>新建</w:t>
            </w:r>
          </w:p>
        </w:tc>
        <w:tc>
          <w:tcPr>
            <w:tcW w:w="284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四级公路 9.4 公里</w:t>
            </w:r>
          </w:p>
        </w:tc>
        <w:tc>
          <w:tcPr>
            <w:tcW w:w="135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0.8</w:t>
            </w:r>
          </w:p>
        </w:tc>
        <w:tc>
          <w:tcPr>
            <w:tcW w:w="1695"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0.8</w:t>
            </w:r>
          </w:p>
        </w:tc>
      </w:tr>
      <w:tr>
        <w:tblPrEx>
          <w:tblCellMar>
            <w:top w:w="0" w:type="dxa"/>
            <w:left w:w="0" w:type="dxa"/>
            <w:bottom w:w="0" w:type="dxa"/>
            <w:right w:w="0" w:type="dxa"/>
          </w:tblCellMar>
        </w:tblPrEx>
        <w:trPr>
          <w:trHeight w:val="512" w:hRule="atLeast"/>
          <w:jc w:val="center"/>
        </w:trPr>
        <w:tc>
          <w:tcPr>
            <w:tcW w:w="180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cs="Times New Roman"/>
                <w:sz w:val="21"/>
                <w:szCs w:val="21"/>
              </w:rPr>
              <w:t>平阳闹村至联山农村道路提升改造工程</w:t>
            </w:r>
          </w:p>
        </w:tc>
        <w:tc>
          <w:tcPr>
            <w:tcW w:w="120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cs="Times New Roman"/>
                <w:sz w:val="21"/>
                <w:szCs w:val="21"/>
              </w:rPr>
              <w:t>新建</w:t>
            </w:r>
          </w:p>
        </w:tc>
        <w:tc>
          <w:tcPr>
            <w:tcW w:w="284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四级公路12公里</w:t>
            </w:r>
          </w:p>
        </w:tc>
        <w:tc>
          <w:tcPr>
            <w:tcW w:w="135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0.9</w:t>
            </w:r>
          </w:p>
        </w:tc>
        <w:tc>
          <w:tcPr>
            <w:tcW w:w="1695"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0.9</w:t>
            </w:r>
          </w:p>
        </w:tc>
      </w:tr>
      <w:tr>
        <w:tblPrEx>
          <w:tblCellMar>
            <w:top w:w="0" w:type="dxa"/>
            <w:left w:w="0" w:type="dxa"/>
            <w:bottom w:w="0" w:type="dxa"/>
            <w:right w:w="0" w:type="dxa"/>
          </w:tblCellMar>
        </w:tblPrEx>
        <w:trPr>
          <w:trHeight w:val="512" w:hRule="atLeast"/>
          <w:jc w:val="center"/>
        </w:trPr>
        <w:tc>
          <w:tcPr>
            <w:tcW w:w="180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平阳鹤溪至蔡垟农村道路提升改造工程</w:t>
            </w:r>
          </w:p>
        </w:tc>
        <w:tc>
          <w:tcPr>
            <w:tcW w:w="120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284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四级公路11.2公里</w:t>
            </w:r>
          </w:p>
        </w:tc>
        <w:tc>
          <w:tcPr>
            <w:tcW w:w="135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0.9</w:t>
            </w:r>
          </w:p>
        </w:tc>
        <w:tc>
          <w:tcPr>
            <w:tcW w:w="1695"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0.9</w:t>
            </w:r>
          </w:p>
        </w:tc>
      </w:tr>
      <w:tr>
        <w:tblPrEx>
          <w:tblCellMar>
            <w:top w:w="0" w:type="dxa"/>
            <w:left w:w="0" w:type="dxa"/>
            <w:bottom w:w="0" w:type="dxa"/>
            <w:right w:w="0" w:type="dxa"/>
          </w:tblCellMar>
        </w:tblPrEx>
        <w:trPr>
          <w:trHeight w:val="512" w:hRule="atLeast"/>
          <w:jc w:val="center"/>
        </w:trPr>
        <w:tc>
          <w:tcPr>
            <w:tcW w:w="180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cs="Times New Roman"/>
                <w:sz w:val="21"/>
                <w:szCs w:val="21"/>
              </w:rPr>
              <w:t>四好农村路</w:t>
            </w:r>
          </w:p>
        </w:tc>
        <w:tc>
          <w:tcPr>
            <w:tcW w:w="120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cs="Times New Roman"/>
                <w:sz w:val="21"/>
                <w:szCs w:val="21"/>
              </w:rPr>
              <w:t>新建</w:t>
            </w:r>
          </w:p>
        </w:tc>
        <w:tc>
          <w:tcPr>
            <w:tcW w:w="284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农村公路新改建、养护、危病桥隧改造、安保、公交一体化、美丽公路等工程</w:t>
            </w:r>
          </w:p>
        </w:tc>
        <w:tc>
          <w:tcPr>
            <w:tcW w:w="135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10</w:t>
            </w:r>
          </w:p>
        </w:tc>
        <w:tc>
          <w:tcPr>
            <w:tcW w:w="1695"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10</w:t>
            </w:r>
          </w:p>
        </w:tc>
      </w:tr>
    </w:tbl>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6．推动平阳港区建设，助力运输结构优化调整</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围绕碳达峰目标与碳中和愿景，以打造绿色低碳交通为主线，紧抓交通领域减排核心，推进运输结构优化调整。不断推进大宗货物及中长距离货物运输向铁路和水运有序转移。加强码头作业和船闸联合调度等智慧化管理，促进水路运输降本增效。</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依托平阳港区，向上争取平阳港纳入上位规划获得项目建设支持，推动水运复兴；远期启动平阳临港经济区建设，与瑞安共同推进争取设立沿海铁路平阳港货运支线，建立“港铁联运”大通道。</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560" w:lineRule="exact"/>
        <w:ind w:left="0" w:firstLine="640" w:firstLineChars="200"/>
        <w:textAlignment w:val="auto"/>
        <w:rPr>
          <w:rFonts w:hint="default" w:ascii="Times New Roman" w:hAnsi="Times New Roman" w:eastAsia="楷体_GB2312" w:cs="Times New Roman"/>
          <w:b w:val="0"/>
          <w:bCs w:val="0"/>
          <w:sz w:val="32"/>
          <w:szCs w:val="32"/>
        </w:rPr>
      </w:pPr>
      <w:bookmarkStart w:id="63" w:name="_Toc102660582"/>
      <w:r>
        <w:rPr>
          <w:rFonts w:hint="default" w:ascii="Times New Roman" w:hAnsi="Times New Roman" w:eastAsia="楷体_GB2312" w:cs="Times New Roman"/>
          <w:b w:val="0"/>
          <w:bCs w:val="0"/>
          <w:sz w:val="32"/>
          <w:szCs w:val="32"/>
        </w:rPr>
        <w:t>任务2：构筑换乘便捷、运转高效的客运服务体系</w:t>
      </w:r>
      <w:bookmarkEnd w:id="63"/>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1．加快客运枢纽场站建设</w:t>
      </w:r>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以枢纽强县，提升城市的区域辐射能级</w:t>
      </w:r>
      <w:r>
        <w:rPr>
          <w:rFonts w:hint="default" w:ascii="Times New Roman" w:hAnsi="Times New Roman" w:eastAsia="仿宋_GB2312" w:cs="Times New Roman"/>
          <w:sz w:val="32"/>
          <w:szCs w:val="32"/>
        </w:rPr>
        <w:t>。打造“一体化、零换乘”综合交通枢纽，统筹利用地上地下空间，打造多种运输方式间无缝对接的综合交通枢纽，强化枢纽与市域综合交通系统的高效衔接。完善枢纽场站配套建设，提升客运站增值服务能力，拓展商业、旅游集散、邮政、物流等服务功能，打造综合客运场站设施，实现站商融合。保障机动车和非机动车停车场地，规范枢纽场站标志标识。</w:t>
      </w:r>
      <w:r>
        <w:rPr>
          <w:rFonts w:hint="default" w:ascii="Times New Roman" w:hAnsi="Times New Roman" w:eastAsia="仿宋_GB2312" w:cs="Times New Roman"/>
          <w:b/>
          <w:bCs/>
          <w:sz w:val="32"/>
          <w:szCs w:val="32"/>
        </w:rPr>
        <w:t>探索TOD模式下枢纽站城一体化发展</w:t>
      </w:r>
      <w:r>
        <w:rPr>
          <w:rFonts w:hint="default" w:ascii="Times New Roman" w:hAnsi="Times New Roman" w:eastAsia="仿宋_GB2312" w:cs="Times New Roman"/>
          <w:sz w:val="32"/>
          <w:szCs w:val="32"/>
        </w:rPr>
        <w:t>，近期围绕平阳高铁站的落地布局，引入站城一体化设计，在高铁站上方布局大型商业设施、办公等功能，打造城市发展新标地，围绕交通核心功能，立足高铁枢纽，对枢纽周边土地进行高密度有序开发，以商贸物流、休闲旅游、办公会议等为主要产业，打造高铁小镇。远期逐步推进鳌江综合交通枢纽、昆阳客运中心、滨海客运枢纽等城市客运枢纽站城一体化发展，同时为温州城轨S3线二期（平阳段）综合开发预留空间，促进城市、土地和交通融合集约发展。下土地综合开发新模式。</w:t>
      </w:r>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2．提质提升公交客运服务水平</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实施公交优先管控，充分利用道路资源，保障公交路权。重点在车站大道、平海大道、昆鳌大道推进公交专用道和公交专用信号机试点。加快推进道路信息化改造工程，推动昆鳌大道、老G104国道道路信息化改造，推广建设新式公交候车站。加快推进城乡公交站台改造工程。</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进一步优化公交线网布局，打造三级一体化公交网络，结合5G、大数据等分析手段，优化调整公交线路走向；加快公交场站建设，推进建成五级公交场站：综合客运枢纽站、公交枢纽（城市、城乡枢纽）、首末站（城市、乡镇运输服务站）、停保场，推行“一镇一枢纽，一村一场站”，试点打造镇级枢纽及村级首末站示范场站；拓展多元化辅助公交服务，与常规公交融合发展，开通与主要客运枢纽衔接的旅游公交专线与定制化公交服务，鼓励发展15座以下社区微循环巴士，在昆阳和鳌江各选一处作为示范线路。</w:t>
      </w:r>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3．积极拓展交旅融合服务发展</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推动客运集约化创新化发展，推进建立三级旅游集散中心，在高铁站、汽车客运站、机场等定制旅游线路，实现交通枢纽与主要景区的直通直达。开发“车票+门票+住宿”等融合产品，创新性开行一批有吸引力的复合型精品旅游线路。推进西部地区“美丽公路”建设，培育壮大“美丽交通+”特色经济、乡村旅游、历史人文、休闲体育、养生健康等新业态、新模式，打造美丽经济交通走廊。优化旅游集散中心通往热点旅游景区的公路和航线，加快旅游景区与高速公路连接线建设，升级扩容和快速化提升旅游景区公路。</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560" w:lineRule="exact"/>
        <w:ind w:left="0" w:firstLine="640" w:firstLineChars="200"/>
        <w:textAlignment w:val="auto"/>
        <w:rPr>
          <w:rFonts w:hint="default" w:ascii="Times New Roman" w:hAnsi="Times New Roman" w:eastAsia="楷体_GB2312" w:cs="Times New Roman"/>
          <w:b w:val="0"/>
          <w:bCs w:val="0"/>
          <w:sz w:val="32"/>
          <w:szCs w:val="32"/>
        </w:rPr>
      </w:pPr>
      <w:bookmarkStart w:id="64" w:name="_Toc102660583"/>
      <w:r>
        <w:rPr>
          <w:rFonts w:hint="default" w:ascii="Times New Roman" w:hAnsi="Times New Roman" w:eastAsia="楷体_GB2312" w:cs="Times New Roman"/>
          <w:b w:val="0"/>
          <w:bCs w:val="0"/>
          <w:sz w:val="32"/>
          <w:szCs w:val="32"/>
        </w:rPr>
        <w:t>任务3：打造集约整合、协调衔接的货运服务体系</w:t>
      </w:r>
      <w:bookmarkEnd w:id="64"/>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1．推动货运基础设施建设，锚固区域货运枢纽</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加快资源配置和政策指引，促进货运向集约化、规模化发展。构建形成层级合理、功能明确的物流枢纽体系，力争到“十四五”期末打造“枢纽+网络+节点”的三级货运体系，加快布局形成“1+4+N”的综合货运枢纽布局。一个区域综合物流园区，结合滨海新区制造产业集群建设，打造辐射浙南地区的综合物流园，包含中转集运（联运）、仓储配送、流通加工、综合服务和后勤保障。</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充分发挥本地区产业特色，四个片区物流中心，打造滨海货运枢纽、万全物流中心、萧江中部物流中心、水头物流中心等一批特色物流产业集聚园区。加强物流园区配套基础设施及集疏运体系建设，协调推进主要货运场站与干线公路、铁路衔接，同时加快周边相关配套智能仓储、保管、车辆维修、综合服务设施等设施建设，为园区入驻企业提供优质服务，促进产业聚集、物流服务链条完善的物流功能区块。</w:t>
      </w:r>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2．推动多式联运模式发展，助力运输结构调整优化</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重点加快建设以甬台温高速复线为主体的高速公路集疏运系统，加强高速公路互通与平阳港区间的疏港交通建设。同时推进“水水联运” 、形成全面、协调、便捷的多式联运系统框架。</w:t>
      </w:r>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3．完善城市物流配送体系建设，解决最后一公里</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完善功能明确、衔接有序的城市物流配送体系，构建以货运枢纽、公共配送中心、末端公共配送站为主体的三级配送网络；鼓励大型社区、产业集聚区以及主要商圈建设智能快递柜等末端投递设备，推动服务网点设施共建共享；推动配送模式创新，统筹配送供给资源，发展共同配送、统一配送、夜间配送、分时配送等多种集约化配送模式。</w:t>
      </w:r>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4．统筹城市-农村物流协调发展，构筑高质量物流体系</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托四好农村路建设，推动完善农村物流配送网络，构建以县级中转、乡镇分拨、村级配送农村物流配送体系；加快完善农村物流网络体系，加快推进农村物流网络节点建设，实现农村物流网络节点多站合一、资源共享。创新农村物流模式，“互联网+农村物流”，依托农村电商平台，打造线上线下一体化农村物流模式；鼓励发展新农村物流配送模式，依托农村电商平台，打造线上线下一体化的农村物流模式，探索无人配送等先进智慧物流配送模式。</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560" w:lineRule="exact"/>
        <w:ind w:left="0" w:firstLine="640" w:firstLineChars="200"/>
        <w:textAlignment w:val="auto"/>
        <w:rPr>
          <w:rFonts w:hint="default" w:ascii="Times New Roman" w:hAnsi="Times New Roman" w:eastAsia="楷体_GB2312" w:cs="Times New Roman"/>
          <w:b w:val="0"/>
          <w:bCs w:val="0"/>
          <w:sz w:val="32"/>
          <w:szCs w:val="32"/>
        </w:rPr>
      </w:pPr>
      <w:bookmarkStart w:id="65" w:name="_Toc102660584"/>
      <w:r>
        <w:rPr>
          <w:rFonts w:hint="default" w:ascii="Times New Roman" w:hAnsi="Times New Roman" w:eastAsia="楷体_GB2312" w:cs="Times New Roman"/>
          <w:b w:val="0"/>
          <w:bCs w:val="0"/>
          <w:sz w:val="32"/>
          <w:szCs w:val="32"/>
        </w:rPr>
        <w:t>任务4：搭建创新融合多场景应用的智慧交通体系</w:t>
      </w:r>
      <w:bookmarkEnd w:id="65"/>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1．打造全方位一体化交通运输设施感知网。</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推动5G技术、图像识别、大数据治理等信息技术在公路基础设施基础上规模化、网络化应用。推动县公路、铁路、水路等重点路段，交通枢纽、场站等重要节点的交通感知网络全覆盖，支撑交通空间信息服务发布和服务应用。重点提高平阳高速公路、航道、港口、桥梁、隧道、边坡等重要交通设施节点的交通感知网络覆盖。推动交通感知网络与交通基础设施、载运工具同步规划、同步建设、同步使用，增强交通运输基础设施、载运工具多维监测、智能网联、精准管控、协同服务能力。加强交通基础设施状态实时监测。</w:t>
      </w:r>
    </w:p>
    <w:p>
      <w:pPr>
        <w:pStyle w:val="20"/>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cs="Times New Roman"/>
          <w:b/>
          <w:bCs/>
          <w:sz w:val="32"/>
          <w:szCs w:val="32"/>
          <w:lang w:val="en-US" w:eastAsia="zh-CN"/>
        </w:rPr>
        <w:t>2</w:t>
      </w:r>
      <w:r>
        <w:rPr>
          <w:rFonts w:hint="default" w:ascii="Times New Roman" w:hAnsi="Times New Roman" w:cs="Times New Roman"/>
          <w:b/>
          <w:bCs/>
          <w:sz w:val="32"/>
          <w:szCs w:val="32"/>
        </w:rPr>
        <w:t>．</w:t>
      </w:r>
      <w:r>
        <w:rPr>
          <w:rFonts w:hint="default" w:ascii="Times New Roman" w:hAnsi="Times New Roman" w:eastAsia="仿宋_GB2312" w:cs="Times New Roman"/>
          <w:b/>
          <w:bCs/>
          <w:sz w:val="32"/>
          <w:szCs w:val="32"/>
        </w:rPr>
        <w:t>推动交通信息平台智慧化建设</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统筹建设交通综合信息服务平台，融合各独立平台服务信息，实现交通信息“一屏统览”，交通政务处理“一网通办”；建立健全平阳县交通信息发布平台，多方式全数据源实时发布路况、天气、停车位、公交到站、出行感受等综合交通出行及引导信息；加快公交信息化网络线上平台建设，实现公交线路信息、车辆到站预报、旅游信息在线发布，提升公交规划、监管、运营调度和信息发布智慧化水平。</w:t>
      </w:r>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3．结合新基建推动交通设施智慧化，积极推进智慧公路试点</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托物联网、5G、大数据等技术手段，推动交通基础设施数字化智慧化，实现基础设施数据实时收集，动态化管理。推进甬台温高速、甬台温高速复线、温州绕城高速智慧化改造工程，结合多样、开放的运营管理与服务模式，为人和货物的快速运输提供可靠的网络化通行服务，为车车/车路交互提供自由的通信管道服务，为应急事件提供全时可响应的应急服务，为出行者提供精细化、自主化的出行服务。重点开展智慧隧道试点工程，打造可复制、推广的智慧高速建设样板工程，促进形成新兴产业。</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560" w:lineRule="exact"/>
        <w:ind w:left="0" w:firstLine="640" w:firstLineChars="200"/>
        <w:textAlignment w:val="auto"/>
        <w:rPr>
          <w:rFonts w:hint="default" w:ascii="Times New Roman" w:hAnsi="Times New Roman" w:eastAsia="楷体_GB2312" w:cs="Times New Roman"/>
          <w:b w:val="0"/>
          <w:bCs w:val="0"/>
          <w:sz w:val="32"/>
          <w:szCs w:val="32"/>
        </w:rPr>
      </w:pPr>
      <w:bookmarkStart w:id="66" w:name="_Toc102660585"/>
      <w:r>
        <w:rPr>
          <w:rFonts w:hint="default" w:ascii="Times New Roman" w:hAnsi="Times New Roman" w:eastAsia="楷体_GB2312" w:cs="Times New Roman"/>
          <w:b w:val="0"/>
          <w:bCs w:val="0"/>
          <w:sz w:val="32"/>
          <w:szCs w:val="32"/>
        </w:rPr>
        <w:t>任务5：建设环境友好的绿色安全交通体系</w:t>
      </w:r>
      <w:bookmarkEnd w:id="66"/>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1．加快推进高效、绿色道路运输装备升级改造</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加快实现公交车、出租车以及货车绿色化，加大新能源设施设备普及宣传力度，鼓励发展与更新新能源车型的出租车及货车应为。积极争取省市级相关配套资金支持政策，制定并实施新能源汽车差异化管理政策。逐步建立起“集约、高效、绿色、智能”的城市货运配送服务体系。力争到2025年实现新能源公交车及新能源出租车占比提高至80%以上，城市营运货车节能环保型汽车占比提高至50%以上。加快城市内、物流产业园区、高速公路、重要国省道干线沿线服务区/加油站，旅游景区充电桩设备建设更新；推动平阳港区船舶设备清洁化，推进 LNG、氢燃料、生物电池、锂电池等清洁能源在船舶领域应用，加快推进船舶密集区域岸电设施建设和船舶受电设施标准化改造，到2025年实现五类专业化码头岸电设施覆盖率100%。</w:t>
      </w:r>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2．积极促进资源节约集约利用，打造绿色交通体系</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把生态环境保护理念贯穿到交通项目“建管养护”全生命周期管理，全面推进交通基础设施生态绿色发展。按照“统筹规划、合理布局、集约高效”原则，加强线位资源保护，综合利用通道资源。提倡公路与铁路、高速公路与普通公路共用线位，推进复合通道建设。改扩建公路充分发挥原通道资源作用，高效利用原有设施。全面推进施工材料、废旧材料再生和综合利用，促进废弃物循环再生利用，构建“资源－产品－再生资源”的循环利用系统，沥青路面旧料实现“零废弃”。推进综合供能服务站建设。构建交通能源供给综合集约新模式，推进集电能、天然气、加氢及清洁油品等多种供给服务功能为一体的综合供能服务站建设布局。</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合理确定与国土空间规划“三条控制线”的关系，做好线位、重要节点的空间预留，严守生态底线，注重无害化穿越；根据城镇开发强度，合理确定路网规模和密度；严守永久基本农田底线，尽可能避让。积极推进生态选线、生态环保设计、生态工程建设，降低交通设施对生态环境的影响。加强交通全过程环境保护监管，研究制定监督、考核及责任追究制度。</w:t>
      </w:r>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3．强化交通运行秩序管理，健全交通应急管理体系</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提升设施设备安全保障能力、完善安全防控体系、强化应急救援能力，维护行业运行安全，强化军民融合，支撑国家总体安全。加强安全生产形势分析研判，建立和完善与气象、应急管理、自然资源等相关部门的联系协调机制，提前部署预警预防工作，做好信息发布、新闻宣传、舆论引导和应急准备。加强隐患排查治理，集中开展专项整治行动。完善综合运输应急预案体系框架，紧密联动公安、消防、医疗救护等相关部门，共享应急支援，降低突发事故的危害。强化运输行业安全监管，预防运输安全事故。加强安全畅通和应急处置系统建设，建立健全重点营运车辆的监测监控系统，重点跟踪“两客一危”车辆（长途客车、客运包车和危险货物运输车）和重点营运货车的安全技术状况。规范危化品运输车辆闭环安全管理，加快推进建设平阳县危化品公共停车场。</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560" w:lineRule="exact"/>
        <w:ind w:left="0" w:firstLine="640" w:firstLineChars="200"/>
        <w:textAlignment w:val="auto"/>
        <w:rPr>
          <w:rFonts w:hint="default" w:ascii="Times New Roman" w:hAnsi="Times New Roman" w:eastAsia="楷体_GB2312" w:cs="Times New Roman"/>
          <w:b w:val="0"/>
          <w:bCs w:val="0"/>
          <w:sz w:val="32"/>
          <w:szCs w:val="32"/>
        </w:rPr>
      </w:pPr>
      <w:bookmarkStart w:id="67" w:name="_Toc102660586"/>
      <w:r>
        <w:rPr>
          <w:rFonts w:hint="default" w:ascii="Times New Roman" w:hAnsi="Times New Roman" w:eastAsia="楷体_GB2312" w:cs="Times New Roman"/>
          <w:b w:val="0"/>
          <w:bCs w:val="0"/>
          <w:sz w:val="32"/>
          <w:szCs w:val="32"/>
        </w:rPr>
        <w:t>任务6：加强交通行业管理建设</w:t>
      </w:r>
      <w:bookmarkEnd w:id="67"/>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w:t>
      </w:r>
      <w:r>
        <w:rPr>
          <w:rFonts w:hint="default" w:ascii="Times New Roman" w:hAnsi="Times New Roman" w:cs="Times New Roman"/>
          <w:b/>
          <w:bCs/>
          <w:sz w:val="32"/>
          <w:szCs w:val="32"/>
        </w:rPr>
        <w:t>．</w:t>
      </w:r>
      <w:r>
        <w:rPr>
          <w:rFonts w:hint="default" w:ascii="Times New Roman" w:hAnsi="Times New Roman" w:eastAsia="仿宋_GB2312" w:cs="Times New Roman"/>
          <w:b/>
          <w:bCs/>
          <w:sz w:val="32"/>
          <w:szCs w:val="32"/>
        </w:rPr>
        <w:t>持续推进行业改革</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改革为根本动力，深化法治政府部门建设，深化行业改革，营造良好的交通发展环境。按照全省交通运输综合改革要求，推进改革事项和体制机制突破，优化社会营商环境，深化"最多跑一次"改革。按照“放管服”要求，持续推进简政放权，减少办事环节，整合办事材料，缩短办事时限，减免办事费用，优化办事流程，提高办事效率，推动运输领域“一窗通办”、“多证合一”等服务升级。提升互联网+政务服务水平，加快推进交通数字化转型，探索自动审批、信用审批等审批模式，优化网上申报、网上流转、网上审查、网上办结等流程。</w:t>
      </w:r>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bookmarkStart w:id="68" w:name="_Toc54803357"/>
      <w:bookmarkStart w:id="69" w:name="_Toc54903037"/>
      <w:r>
        <w:rPr>
          <w:rFonts w:hint="default" w:ascii="Times New Roman" w:hAnsi="Times New Roman" w:eastAsia="仿宋_GB2312" w:cs="Times New Roman"/>
          <w:b/>
          <w:bCs/>
          <w:sz w:val="32"/>
          <w:szCs w:val="32"/>
        </w:rPr>
        <w:t>2．强化人才队伍建设</w:t>
      </w:r>
      <w:bookmarkEnd w:id="68"/>
      <w:bookmarkEnd w:id="69"/>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提高领导水平和管理能力为核心，培养造就一支富有创新活力和奋发有为的高素质管理人才。整合利用交通运输系统和社会教育培训资源，加强干部政治理论、法律、管理、现代经济、交通专业知识等培训，提升领导干部履职能力。积极培养和引进公路、港航、运输、安全应急、行政执法、信息化等专业领域的人才，提高业务人员的学习研究、战略谋划、综合协调、专业管理能力，打造高素质、专业化的部门队伍。加大对基层人员的技术培训，提高基层管理机构规范化和专业化水平。完善干部综合考核评价体系，全面考核干部的德才表现和工作实绩，实现奖优罚劣、奖勤罚懒，推动干部队伍结构优化、能力提升、作风转变、活力增强。</w:t>
      </w:r>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bookmarkStart w:id="70" w:name="_Toc54803358"/>
      <w:bookmarkStart w:id="71" w:name="_Toc54903038"/>
      <w:r>
        <w:rPr>
          <w:rFonts w:hint="default" w:ascii="Times New Roman" w:hAnsi="Times New Roman" w:eastAsia="仿宋_GB2312" w:cs="Times New Roman"/>
          <w:b/>
          <w:bCs/>
          <w:sz w:val="32"/>
          <w:szCs w:val="32"/>
        </w:rPr>
        <w:t>3．引领建设清廉交通</w:t>
      </w:r>
      <w:bookmarkEnd w:id="70"/>
      <w:bookmarkEnd w:id="71"/>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强化廉政安全，深化警示教育，将清廉交通建设全面覆盖交通权力事项，紧盯重点领域和高发问题，推动常态化廉政监管。完善清廉交通制度体系。聚焦权力集中、资金密集、资源集聚等高风险领域，加强清廉交通思想教育。建立健全跟踪评估机制，加强共性特征、典型案例、主要风险点等综合研判和专业指导，组织开展实施效果评价。强化用人、工程建设、资金等八大重点领域的廉政监管，提高行业廉政建设和廉洁治理水平。强化审计督察，完善防控体系，从严执纪问责，严格公开程序，拓宽公开领域，增加公开内容，畅通互动渠道，打造阳光工程、廉洁工程。</w:t>
      </w:r>
    </w:p>
    <w:p>
      <w:pPr>
        <w:rPr>
          <w:rFonts w:hint="default" w:ascii="Times New Roman" w:hAnsi="Times New Roman" w:eastAsia="仿宋_GB2312" w:cs="Times New Roman"/>
          <w:sz w:val="32"/>
          <w:szCs w:val="32"/>
        </w:rPr>
      </w:pPr>
      <w:bookmarkStart w:id="72" w:name="_Toc102660587"/>
      <w:bookmarkStart w:id="73" w:name="_Toc61287337"/>
      <w:bookmarkStart w:id="74" w:name="_Toc57386000"/>
      <w:r>
        <w:rPr>
          <w:rFonts w:hint="default" w:ascii="Times New Roman" w:hAnsi="Times New Roman" w:eastAsia="仿宋_GB2312" w:cs="Times New Roman"/>
          <w:sz w:val="32"/>
          <w:szCs w:val="32"/>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0" w:firstLine="0" w:firstLineChars="0"/>
        <w:jc w:val="center"/>
        <w:textAlignment w:val="auto"/>
        <w:rPr>
          <w:rFonts w:hint="default" w:ascii="Times New Roman" w:hAnsi="Times New Roman" w:cs="Times New Roman"/>
          <w:b w:val="0"/>
          <w:bCs w:val="0"/>
          <w:sz w:val="32"/>
          <w:szCs w:val="32"/>
          <w:lang w:eastAsia="zh-CN"/>
        </w:rPr>
      </w:pPr>
      <w:r>
        <w:rPr>
          <w:rFonts w:hint="default" w:ascii="Times New Roman" w:hAnsi="Times New Roman" w:cs="Times New Roman"/>
          <w:b w:val="0"/>
          <w:bCs w:val="0"/>
          <w:sz w:val="32"/>
          <w:szCs w:val="32"/>
          <w:lang w:eastAsia="zh-CN"/>
        </w:rPr>
        <w:t>六、环境影响评价</w:t>
      </w:r>
      <w:bookmarkEnd w:id="72"/>
      <w:bookmarkEnd w:id="73"/>
      <w:bookmarkEnd w:id="74"/>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本规划坚持节能环保、绿色发展原则，将可持续发展理念贯彻到全县交通基础设施建设、运输生产、行业管理的各领域和全过程，全面提高资源利用效率，降低污染排放水平。</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75" w:name="_Toc102660588"/>
      <w:bookmarkStart w:id="76" w:name="_Toc441236017"/>
      <w:bookmarkStart w:id="77" w:name="_Toc457894800"/>
      <w:bookmarkStart w:id="78" w:name="_Toc457322547"/>
      <w:bookmarkStart w:id="79" w:name="_Toc457293619"/>
      <w:bookmarkStart w:id="80" w:name="_Toc61287338"/>
      <w:bookmarkStart w:id="81" w:name="_Toc57386001"/>
      <w:r>
        <w:rPr>
          <w:rFonts w:hint="default" w:ascii="Times New Roman" w:hAnsi="Times New Roman" w:eastAsia="楷体_GB2312" w:cs="Times New Roman"/>
          <w:b w:val="0"/>
          <w:bCs w:val="0"/>
          <w:kern w:val="2"/>
          <w:sz w:val="32"/>
          <w:szCs w:val="32"/>
          <w:lang w:val="en-US" w:eastAsia="zh-CN" w:bidi="ar-SA"/>
        </w:rPr>
        <w:t>（一）规划实施的环境影响分析</w:t>
      </w:r>
      <w:bookmarkEnd w:id="75"/>
      <w:bookmarkEnd w:id="76"/>
      <w:bookmarkEnd w:id="77"/>
      <w:bookmarkEnd w:id="78"/>
      <w:bookmarkEnd w:id="79"/>
      <w:bookmarkEnd w:id="80"/>
      <w:bookmarkEnd w:id="81"/>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规划涉及铁路、公路、水路、航空、管道等多种类型交通方式，对环境的影响主要体现在各类交通基础设施的建设和运行将占用、消耗一定量的土地等物资资源，运输装备和服务系统运行将向周边环境排放废气、废水、噪声和固体废物等，对局部区域环境质量产生不利影响，采取占补平衡等有效措施，规划实施对资源占用影响不大。此外，由于本规划注重绿色发展，通过建设绿色生态基础设施、推广节能环保运输装备和发展集约高效运输组织，规划实施后能耗指标明显下降，环境质量不会受到较大影响。</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82" w:name="_Toc61287339"/>
      <w:bookmarkStart w:id="83" w:name="_Toc441236018"/>
      <w:bookmarkStart w:id="84" w:name="_Toc457894801"/>
      <w:bookmarkStart w:id="85" w:name="_Toc457293620"/>
      <w:bookmarkStart w:id="86" w:name="_Toc457322548"/>
      <w:bookmarkStart w:id="87" w:name="_Toc102660589"/>
      <w:bookmarkStart w:id="88" w:name="_Toc57386002"/>
      <w:r>
        <w:rPr>
          <w:rFonts w:hint="default" w:ascii="Times New Roman" w:hAnsi="Times New Roman" w:eastAsia="楷体_GB2312" w:cs="Times New Roman"/>
          <w:b w:val="0"/>
          <w:bCs w:val="0"/>
          <w:kern w:val="2"/>
          <w:sz w:val="32"/>
          <w:szCs w:val="32"/>
          <w:lang w:val="en-US" w:eastAsia="zh-CN" w:bidi="ar-SA"/>
        </w:rPr>
        <w:t>（二）预防和减缓不良环境影响的措施</w:t>
      </w:r>
      <w:bookmarkEnd w:id="82"/>
      <w:bookmarkEnd w:id="83"/>
      <w:bookmarkEnd w:id="84"/>
      <w:bookmarkEnd w:id="85"/>
      <w:bookmarkEnd w:id="86"/>
      <w:bookmarkEnd w:id="87"/>
      <w:bookmarkEnd w:id="88"/>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bookmarkStart w:id="89" w:name="_Toc61287340"/>
      <w:bookmarkStart w:id="90" w:name="_Toc457894802"/>
      <w:bookmarkStart w:id="91" w:name="_Toc57386003"/>
      <w:bookmarkStart w:id="92" w:name="_Toc457322549"/>
      <w:bookmarkStart w:id="93" w:name="_Toc457293621"/>
      <w:r>
        <w:rPr>
          <w:rFonts w:hint="default" w:ascii="Times New Roman" w:hAnsi="Times New Roman" w:eastAsia="仿宋_GB2312" w:cs="Times New Roman"/>
          <w:b/>
          <w:bCs/>
          <w:kern w:val="2"/>
          <w:sz w:val="32"/>
          <w:szCs w:val="32"/>
          <w:lang w:val="en-US" w:eastAsia="zh-CN" w:bidi="ar-SA"/>
        </w:rPr>
        <w:t>1</w:t>
      </w:r>
      <w:r>
        <w:rPr>
          <w:rFonts w:hint="default" w:ascii="Times New Roman" w:hAnsi="Times New Roman" w:cs="Times New Roman"/>
          <w:b/>
          <w:bCs/>
          <w:sz w:val="32"/>
          <w:szCs w:val="32"/>
        </w:rPr>
        <w:t>．</w:t>
      </w:r>
      <w:r>
        <w:rPr>
          <w:rFonts w:hint="default" w:ascii="Times New Roman" w:hAnsi="Times New Roman" w:eastAsia="仿宋_GB2312" w:cs="Times New Roman"/>
          <w:b/>
          <w:bCs/>
          <w:kern w:val="2"/>
          <w:sz w:val="32"/>
          <w:szCs w:val="32"/>
          <w:lang w:val="en-US" w:eastAsia="zh-CN" w:bidi="ar-SA"/>
        </w:rPr>
        <w:t>节约集约利用资源和减少污染</w:t>
      </w:r>
      <w:bookmarkEnd w:id="89"/>
      <w:bookmarkEnd w:id="90"/>
      <w:bookmarkEnd w:id="91"/>
      <w:bookmarkEnd w:id="92"/>
      <w:bookmarkEnd w:id="93"/>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资源集约化、精细化开发为主旨，在项目设计和实施过程中，通过改造、扩容等手段积极提高各类既有交通设施的资源利用效率，尽量减少土地（海域）特别是耕地占用，实现对能源、资金、土地和环境等资源的集约节约利用；大力推广节能环保技术，全面推进清洁能源和新能源车辆应用，提高车船能源使用效率，加速淘汰高耗的老旧车船，减少环境污染；积极发展多式联运、甩挂运输等先进运输组织方式。</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bookmarkStart w:id="94" w:name="_Toc57386004"/>
      <w:bookmarkStart w:id="95" w:name="_Toc457322550"/>
      <w:bookmarkStart w:id="96" w:name="_Toc457894803"/>
      <w:bookmarkStart w:id="97" w:name="_Toc457293622"/>
      <w:bookmarkStart w:id="98" w:name="_Toc61287341"/>
      <w:r>
        <w:rPr>
          <w:rFonts w:hint="default" w:ascii="Times New Roman" w:hAnsi="Times New Roman" w:eastAsia="仿宋_GB2312" w:cs="Times New Roman"/>
          <w:b/>
          <w:bCs/>
          <w:kern w:val="2"/>
          <w:sz w:val="32"/>
          <w:szCs w:val="32"/>
          <w:lang w:val="en-US" w:eastAsia="zh-CN" w:bidi="ar-SA"/>
        </w:rPr>
        <w:t>2</w:t>
      </w:r>
      <w:r>
        <w:rPr>
          <w:rFonts w:hint="default" w:ascii="Times New Roman" w:hAnsi="Times New Roman" w:cs="Times New Roman"/>
          <w:b/>
          <w:bCs/>
          <w:sz w:val="32"/>
          <w:szCs w:val="32"/>
        </w:rPr>
        <w:t>．</w:t>
      </w:r>
      <w:r>
        <w:rPr>
          <w:rFonts w:hint="default" w:ascii="Times New Roman" w:hAnsi="Times New Roman" w:eastAsia="仿宋_GB2312" w:cs="Times New Roman"/>
          <w:b/>
          <w:bCs/>
          <w:kern w:val="2"/>
          <w:sz w:val="32"/>
          <w:szCs w:val="32"/>
          <w:lang w:val="en-US" w:eastAsia="zh-CN" w:bidi="ar-SA"/>
        </w:rPr>
        <w:t>强化生态保护和污染防治</w:t>
      </w:r>
      <w:bookmarkEnd w:id="94"/>
      <w:bookmarkEnd w:id="95"/>
      <w:bookmarkEnd w:id="96"/>
      <w:bookmarkEnd w:id="97"/>
      <w:bookmarkEnd w:id="98"/>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合理设计项目线位走向和场站选址，注重生态保护，避绕水源地、湿地等生态敏感区域及永久基本农田示范区。加大项目污染防治力度，实现污染物达标排放。通过推广使用清洁能源、环保交通设施，减少环境空气污染；通过采用先进筑路材料、设置绿化隔音带和隔声屏障等措施，降低交通噪声污染。</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bookmarkStart w:id="99" w:name="_Toc457293623"/>
      <w:bookmarkStart w:id="100" w:name="_Toc61287342"/>
      <w:bookmarkStart w:id="101" w:name="_Toc57386005"/>
      <w:bookmarkStart w:id="102" w:name="_Toc457322551"/>
      <w:bookmarkStart w:id="103" w:name="_Toc457894804"/>
      <w:r>
        <w:rPr>
          <w:rFonts w:hint="default" w:ascii="Times New Roman" w:hAnsi="Times New Roman" w:eastAsia="仿宋_GB2312" w:cs="Times New Roman"/>
          <w:b/>
          <w:bCs/>
          <w:kern w:val="2"/>
          <w:sz w:val="32"/>
          <w:szCs w:val="32"/>
          <w:lang w:val="en-US" w:eastAsia="zh-CN" w:bidi="ar-SA"/>
        </w:rPr>
        <w:t>3</w:t>
      </w:r>
      <w:r>
        <w:rPr>
          <w:rFonts w:hint="default" w:ascii="Times New Roman" w:hAnsi="Times New Roman" w:cs="Times New Roman"/>
          <w:b/>
          <w:bCs/>
          <w:sz w:val="32"/>
          <w:szCs w:val="32"/>
        </w:rPr>
        <w:t>．</w:t>
      </w:r>
      <w:r>
        <w:rPr>
          <w:rFonts w:hint="default" w:ascii="Times New Roman" w:hAnsi="Times New Roman" w:eastAsia="仿宋_GB2312" w:cs="Times New Roman"/>
          <w:b/>
          <w:bCs/>
          <w:kern w:val="2"/>
          <w:sz w:val="32"/>
          <w:szCs w:val="32"/>
          <w:lang w:val="en-US" w:eastAsia="zh-CN" w:bidi="ar-SA"/>
        </w:rPr>
        <w:t>完善项目环境管理体系</w:t>
      </w:r>
      <w:bookmarkEnd w:id="99"/>
      <w:bookmarkEnd w:id="100"/>
      <w:bookmarkEnd w:id="101"/>
      <w:bookmarkEnd w:id="102"/>
      <w:bookmarkEnd w:id="103"/>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严格执行《环境保护法》、</w:t>
      </w:r>
      <w:r>
        <w:rPr>
          <w:rFonts w:hint="default" w:cs="Times New Roman"/>
          <w:sz w:val="32"/>
          <w:szCs w:val="32"/>
          <w:lang w:val="en"/>
        </w:rPr>
        <w:t>《中华人民共和国环境影响评价法》</w:t>
      </w:r>
      <w:r>
        <w:rPr>
          <w:rFonts w:hint="default" w:ascii="Times New Roman" w:hAnsi="Times New Roman" w:eastAsia="仿宋_GB2312" w:cs="Times New Roman"/>
          <w:sz w:val="32"/>
          <w:szCs w:val="32"/>
        </w:rPr>
        <w:t>、《规划环境影响评价条例》等法律法规，按要求开展规划及交通类建设项目的环境影响评价工作，强化行业监管，严格新建、扩建项目审批，严把环保准入关；严格执行“三同时”制度，加强建设项目后期管理力度，强化验收环节的管理，做好规划项目施工、运行阶段的环境监管。建立完善绿色交通发展战略规划体系、标准规范体系、监督管理体系和组织保障体系，改善制度环境，提服务与管理能力。</w:t>
      </w:r>
    </w:p>
    <w:p>
      <w:pPr>
        <w:rPr>
          <w:rFonts w:hint="default" w:ascii="Times New Roman" w:hAnsi="Times New Roman" w:eastAsia="仿宋_GB2312" w:cs="Times New Roman"/>
          <w:sz w:val="32"/>
          <w:szCs w:val="32"/>
        </w:rPr>
      </w:pPr>
      <w:bookmarkStart w:id="104" w:name="_Toc102660590"/>
      <w:r>
        <w:rPr>
          <w:rFonts w:hint="default" w:ascii="Times New Roman" w:hAnsi="Times New Roman" w:eastAsia="仿宋_GB2312" w:cs="Times New Roman"/>
          <w:sz w:val="32"/>
          <w:szCs w:val="32"/>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0" w:firstLine="640" w:firstLineChars="200"/>
        <w:jc w:val="center"/>
        <w:textAlignment w:val="auto"/>
        <w:rPr>
          <w:rFonts w:hint="default" w:ascii="Times New Roman" w:hAnsi="Times New Roman" w:cs="Times New Roman"/>
          <w:b w:val="0"/>
          <w:bCs w:val="0"/>
          <w:sz w:val="32"/>
          <w:szCs w:val="32"/>
          <w:lang w:eastAsia="zh-CN"/>
        </w:rPr>
      </w:pPr>
      <w:r>
        <w:rPr>
          <w:rFonts w:hint="default" w:ascii="Times New Roman" w:hAnsi="Times New Roman" w:cs="Times New Roman"/>
          <w:b w:val="0"/>
          <w:bCs w:val="0"/>
          <w:sz w:val="32"/>
          <w:szCs w:val="32"/>
          <w:lang w:eastAsia="zh-CN"/>
        </w:rPr>
        <w:t>七、保障措施</w:t>
      </w:r>
      <w:bookmarkEnd w:id="104"/>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105" w:name="_Toc102660591"/>
      <w:r>
        <w:rPr>
          <w:rFonts w:hint="default" w:ascii="Times New Roman" w:hAnsi="Times New Roman" w:eastAsia="楷体_GB2312" w:cs="Times New Roman"/>
          <w:b w:val="0"/>
          <w:bCs w:val="0"/>
          <w:kern w:val="2"/>
          <w:sz w:val="32"/>
          <w:szCs w:val="32"/>
          <w:lang w:val="en-US" w:eastAsia="zh-CN" w:bidi="ar-SA"/>
        </w:rPr>
        <w:t>（一）加强组织指导</w:t>
      </w:r>
      <w:bookmarkEnd w:id="105"/>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坚持党的全面领导，充分发挥党在规划推进过程中总揽全局、协调各方的作用，建立与市级部门协同、上下机构联动、周边县市互动、军民融合发展的综合交通规划实施工作机制。各级交通主管部门要建立分工协作机制，细化落实目标任务，明确责任，有序推进各项工作；要主动加强与本级发改、财政、自规、生态等相关部门的衔接；要进一步加强与周边行政单元的衔接，确保项目同步实施，避免出现断头路。建立规划实施事中事后监管和动态评估调整机制。</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106" w:name="_Toc102660592"/>
      <w:r>
        <w:rPr>
          <w:rFonts w:hint="default" w:ascii="Times New Roman" w:hAnsi="Times New Roman" w:eastAsia="楷体_GB2312" w:cs="Times New Roman"/>
          <w:b w:val="0"/>
          <w:bCs w:val="0"/>
          <w:kern w:val="2"/>
          <w:sz w:val="32"/>
          <w:szCs w:val="32"/>
          <w:lang w:val="en-US" w:eastAsia="zh-CN" w:bidi="ar-SA"/>
        </w:rPr>
        <w:t>（二）加强改革创新</w:t>
      </w:r>
      <w:bookmarkEnd w:id="106"/>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立足于科学决策、科学发展和破解影响交通发展的政策、体制保障等难题，探索并建立健全交通发展重大问题研究决策、重大事项协调推进、交通基础设施长效维护等工作机制。按照全省交通运输综合改革试点要求，推进21个方面的改革事项。其中重点推进“一城一交”大交通管理体制改革、综合交通指挥中心运作机制建设、公共交通综合运行协调指挥中心建设以及努力在落实重大发展思路研究、重大问题协调推进保障、行业管理体制保障、公交优先政策保障等方面取得新突破，在引导公众参与交通管理监督等方面取得新进步。</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107" w:name="_Toc102660593"/>
      <w:r>
        <w:rPr>
          <w:rFonts w:hint="default" w:ascii="Times New Roman" w:hAnsi="Times New Roman" w:eastAsia="楷体_GB2312" w:cs="Times New Roman"/>
          <w:b w:val="0"/>
          <w:bCs w:val="0"/>
          <w:kern w:val="2"/>
          <w:sz w:val="32"/>
          <w:szCs w:val="32"/>
          <w:lang w:val="en-US" w:eastAsia="zh-CN" w:bidi="ar-SA"/>
        </w:rPr>
        <w:t>（三）加强要素保障</w:t>
      </w:r>
      <w:bookmarkEnd w:id="107"/>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积极探索破解交通建设和运输服务中土地、资金、人才等要素制约问题的有效途径。进一步优化交通项目选址，尽量避占优质耕地尤其是水田。通过资金倾斜和改革创新，加大政策供给，鼓励通过存量盘活、低丘缓坡开发利用、市场配置土地要素等方式落实用地主体自身重大项目建设占用的耕地占补平衡。强化交通规划与土地利用规划、控制性详规的衔接，实现交通规划与城市规划互动协调，做到交通建设和运输服务用地优先保障预留，土地开发增值后用于地铁建设，做到交通建设、城市建设、土地开发同步。努力形成财政投入和市场融资互补的交通建设资金保障格局，拓宽融资渠道，鼓励和引进民间资金进入交通建设和交通公共服务等领域。加强资金保障，积极争取国家、省投资补助支持政策；研究适应新形势的投融资渠道，建立投融资平台，按照“政府引导、市场运作”的方式，加大招商引资力度，以“经营”的理念拓宽投资类型，增加建设资金来源，加快推进综合交通重大项目建设；整合上级交通建设补助资金、交通专项资金、市级财政资金以及其他资金，合理安排专项资金用于交通建设。</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108" w:name="_Toc102660594"/>
      <w:r>
        <w:rPr>
          <w:rFonts w:hint="default" w:ascii="Times New Roman" w:hAnsi="Times New Roman" w:eastAsia="楷体_GB2312" w:cs="Times New Roman"/>
          <w:b w:val="0"/>
          <w:bCs w:val="0"/>
          <w:kern w:val="2"/>
          <w:sz w:val="32"/>
          <w:szCs w:val="32"/>
          <w:lang w:val="en-US" w:eastAsia="zh-CN" w:bidi="ar-SA"/>
        </w:rPr>
        <w:t>（四）完善监督考核</w:t>
      </w:r>
      <w:bookmarkEnd w:id="108"/>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建立规划监督机制，制定任务分工方案，强化对规划实施情况的监督检查，发挥行政监察、组织人事、统计审计等部门对规划实施的监督作用，充分听取各方面的意见和建议，发挥社会各界对规划实施情况的监督作用。建立规划实施定期考核机制，围绕规划确定的指标任务和落实的目标责任，全面考核监督各地任务实施情况，充分保障规划目标的全面实现。</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规划已制定，关键靠落实。一要加强规划引导，确保规划科学性、可操作性。“十四五”时期全县综合交通项目建设要以规划为依据，合理制定今后五年建设计划，稳步推进相关项目前期工作，确保规划项目有序推进，保证规划目标和任务得到贯彻落实。二要把加强综合交通运输发展摆到更加突出位置，强化对综合交通运输发展工作的领导，成立专门工作班子，落实责任，统筹协调，整体推进。建立目标责任管理机制，把交通发展目标纳入年度考核目标中，并明确相关要求。</w:t>
      </w:r>
    </w:p>
    <w:p>
      <w:pPr>
        <w:rPr>
          <w:rFonts w:hint="default" w:ascii="Times New Roman" w:hAnsi="Times New Roman" w:eastAsia="仿宋_GB2312" w:cs="Times New Roman"/>
          <w:sz w:val="32"/>
          <w:szCs w:val="32"/>
        </w:rPr>
      </w:pPr>
      <w:bookmarkStart w:id="109" w:name="_Toc102660595"/>
      <w:bookmarkStart w:id="110" w:name="_Toc53759319"/>
      <w:r>
        <w:rPr>
          <w:rFonts w:hint="default" w:ascii="Times New Roman" w:hAnsi="Times New Roman" w:eastAsia="仿宋_GB2312" w:cs="Times New Roman"/>
          <w:sz w:val="32"/>
          <w:szCs w:val="32"/>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jc w:val="center"/>
        <w:textAlignment w:val="auto"/>
        <w:rPr>
          <w:rFonts w:hint="default" w:ascii="Times New Roman" w:hAnsi="Times New Roman" w:cs="Times New Roman"/>
          <w:b w:val="0"/>
          <w:bCs w:val="0"/>
          <w:sz w:val="32"/>
          <w:szCs w:val="32"/>
          <w:lang w:eastAsia="zh-CN"/>
        </w:rPr>
      </w:pPr>
      <w:r>
        <w:rPr>
          <w:rFonts w:hint="default" w:ascii="Times New Roman" w:hAnsi="Times New Roman" w:cs="Times New Roman"/>
          <w:b w:val="0"/>
          <w:bCs w:val="0"/>
          <w:sz w:val="32"/>
          <w:szCs w:val="32"/>
          <w:lang w:eastAsia="zh-CN"/>
        </w:rPr>
        <w:t>八、附表：平阳县 “十四五”交通投资项目汇总表</w:t>
      </w:r>
      <w:bookmarkEnd w:id="109"/>
      <w:bookmarkEnd w:id="110"/>
    </w:p>
    <w:p>
      <w:pPr>
        <w:keepNext w:val="0"/>
        <w:keepLines w:val="0"/>
        <w:pageBreakBefore w:val="0"/>
        <w:widowControl w:val="0"/>
        <w:kinsoku/>
        <w:wordWrap/>
        <w:overflowPunct/>
        <w:topLinePunct w:val="0"/>
        <w:autoSpaceDE/>
        <w:autoSpaceDN/>
        <w:bidi w:val="0"/>
        <w:adjustRightInd/>
        <w:snapToGrid w:val="0"/>
        <w:spacing w:before="157" w:beforeLines="50" w:after="157" w:afterLines="50" w:line="560" w:lineRule="exact"/>
        <w:ind w:left="0" w:leftChars="0" w:firstLine="0" w:firstLineChars="0"/>
        <w:jc w:val="center"/>
        <w:textAlignment w:val="auto"/>
        <w:outlineLvl w:val="1"/>
        <w:rPr>
          <w:rFonts w:hint="default" w:ascii="Times New Roman" w:hAnsi="Times New Roman" w:eastAsia="仿宋_GB2312" w:cs="Times New Roman"/>
          <w:b/>
          <w:bCs/>
          <w:sz w:val="32"/>
          <w:szCs w:val="32"/>
        </w:rPr>
      </w:pPr>
      <w:bookmarkStart w:id="111" w:name="_Toc102660596"/>
      <w:bookmarkStart w:id="112" w:name="_Hlk88832994"/>
      <w:r>
        <w:rPr>
          <w:rFonts w:hint="default" w:ascii="Times New Roman" w:hAnsi="Times New Roman" w:eastAsia="仿宋_GB2312" w:cs="Times New Roman"/>
          <w:b/>
          <w:bCs/>
          <w:sz w:val="32"/>
          <w:szCs w:val="32"/>
        </w:rPr>
        <w:t>平阳县综合交通运输“十四五”发展规划</w:t>
      </w:r>
      <w:bookmarkEnd w:id="111"/>
      <w:bookmarkStart w:id="113" w:name="_Toc102660597"/>
      <w:r>
        <w:rPr>
          <w:rFonts w:hint="default" w:ascii="Times New Roman" w:hAnsi="Times New Roman" w:eastAsia="仿宋_GB2312" w:cs="Times New Roman"/>
          <w:b/>
          <w:bCs/>
          <w:sz w:val="32"/>
          <w:szCs w:val="32"/>
        </w:rPr>
        <w:t>建设总规模表</w:t>
      </w:r>
      <w:bookmarkEnd w:id="113"/>
    </w:p>
    <w:tbl>
      <w:tblPr>
        <w:tblStyle w:val="16"/>
        <w:tblW w:w="890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3258"/>
        <w:gridCol w:w="2344"/>
        <w:gridCol w:w="2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7"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序号</w:t>
            </w:r>
          </w:p>
        </w:tc>
        <w:tc>
          <w:tcPr>
            <w:tcW w:w="325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4"/>
                <w:szCs w:val="24"/>
              </w:rPr>
            </w:pPr>
            <w:r>
              <w:rPr>
                <w:rFonts w:hint="default" w:ascii="Times New Roman" w:hAnsi="Times New Roman" w:eastAsia="黑体" w:cs="Times New Roman"/>
                <w:sz w:val="24"/>
                <w:szCs w:val="24"/>
              </w:rPr>
              <w:t>类别</w:t>
            </w:r>
          </w:p>
        </w:tc>
        <w:tc>
          <w:tcPr>
            <w:tcW w:w="234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“十三五”总投资</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（亿元）</w:t>
            </w:r>
          </w:p>
        </w:tc>
        <w:tc>
          <w:tcPr>
            <w:tcW w:w="221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“十四五”计划投资</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7"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325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总计</w:t>
            </w:r>
          </w:p>
        </w:tc>
        <w:tc>
          <w:tcPr>
            <w:tcW w:w="234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175.3</w:t>
            </w:r>
          </w:p>
        </w:tc>
        <w:tc>
          <w:tcPr>
            <w:tcW w:w="221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202.79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7"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325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铁路</w:t>
            </w:r>
          </w:p>
        </w:tc>
        <w:tc>
          <w:tcPr>
            <w:tcW w:w="234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0.0</w:t>
            </w:r>
          </w:p>
        </w:tc>
        <w:tc>
          <w:tcPr>
            <w:tcW w:w="221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7"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w:t>
            </w:r>
          </w:p>
        </w:tc>
        <w:tc>
          <w:tcPr>
            <w:tcW w:w="325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公路合计</w:t>
            </w:r>
          </w:p>
        </w:tc>
        <w:tc>
          <w:tcPr>
            <w:tcW w:w="234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174.2</w:t>
            </w:r>
          </w:p>
        </w:tc>
        <w:tc>
          <w:tcPr>
            <w:tcW w:w="221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201.99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7"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p>
        </w:tc>
        <w:tc>
          <w:tcPr>
            <w:tcW w:w="325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其中：高速公路</w:t>
            </w:r>
          </w:p>
        </w:tc>
        <w:tc>
          <w:tcPr>
            <w:tcW w:w="234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39.5</w:t>
            </w:r>
          </w:p>
        </w:tc>
        <w:tc>
          <w:tcPr>
            <w:tcW w:w="221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7"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p>
        </w:tc>
        <w:tc>
          <w:tcPr>
            <w:tcW w:w="325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普通国省道</w:t>
            </w:r>
          </w:p>
        </w:tc>
        <w:tc>
          <w:tcPr>
            <w:tcW w:w="234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54.0</w:t>
            </w:r>
          </w:p>
        </w:tc>
        <w:tc>
          <w:tcPr>
            <w:tcW w:w="221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7"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p>
        </w:tc>
        <w:tc>
          <w:tcPr>
            <w:tcW w:w="325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县道农村公路</w:t>
            </w:r>
          </w:p>
        </w:tc>
        <w:tc>
          <w:tcPr>
            <w:tcW w:w="234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80.7</w:t>
            </w:r>
          </w:p>
        </w:tc>
        <w:tc>
          <w:tcPr>
            <w:tcW w:w="221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7"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325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水运合计</w:t>
            </w:r>
          </w:p>
        </w:tc>
        <w:tc>
          <w:tcPr>
            <w:tcW w:w="234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0.5</w:t>
            </w:r>
          </w:p>
        </w:tc>
        <w:tc>
          <w:tcPr>
            <w:tcW w:w="221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7"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p>
        </w:tc>
        <w:tc>
          <w:tcPr>
            <w:tcW w:w="325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其中：沿海港口</w:t>
            </w:r>
          </w:p>
        </w:tc>
        <w:tc>
          <w:tcPr>
            <w:tcW w:w="234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0.5</w:t>
            </w:r>
          </w:p>
        </w:tc>
        <w:tc>
          <w:tcPr>
            <w:tcW w:w="221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7"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p>
        </w:tc>
        <w:tc>
          <w:tcPr>
            <w:tcW w:w="325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内河航道</w:t>
            </w:r>
          </w:p>
        </w:tc>
        <w:tc>
          <w:tcPr>
            <w:tcW w:w="234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0.0</w:t>
            </w:r>
          </w:p>
        </w:tc>
        <w:tc>
          <w:tcPr>
            <w:tcW w:w="221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7"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5</w:t>
            </w:r>
          </w:p>
        </w:tc>
        <w:tc>
          <w:tcPr>
            <w:tcW w:w="325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站场枢纽</w:t>
            </w:r>
          </w:p>
        </w:tc>
        <w:tc>
          <w:tcPr>
            <w:tcW w:w="234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0.8</w:t>
            </w:r>
          </w:p>
        </w:tc>
        <w:tc>
          <w:tcPr>
            <w:tcW w:w="221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0.8</w:t>
            </w:r>
          </w:p>
        </w:tc>
      </w:tr>
      <w:bookmarkEnd w:id="112"/>
    </w:tbl>
    <w:p>
      <w:pPr>
        <w:keepNext w:val="0"/>
        <w:keepLines w:val="0"/>
        <w:pageBreakBefore w:val="0"/>
        <w:widowControl w:val="0"/>
        <w:kinsoku/>
        <w:wordWrap/>
        <w:overflowPunct/>
        <w:topLinePunct w:val="0"/>
        <w:autoSpaceDE/>
        <w:autoSpaceDN/>
        <w:bidi w:val="0"/>
        <w:ind w:firstLine="0" w:firstLineChars="0"/>
        <w:jc w:val="left"/>
        <w:rPr>
          <w:rFonts w:hint="default" w:ascii="Times New Roman" w:hAnsi="Times New Roman" w:eastAsia="黑体" w:cs="Times New Roman"/>
          <w:sz w:val="21"/>
          <w:szCs w:val="21"/>
        </w:rPr>
      </w:pPr>
    </w:p>
    <w:p>
      <w:pPr>
        <w:keepNext w:val="0"/>
        <w:keepLines w:val="0"/>
        <w:pageBreakBefore w:val="0"/>
        <w:widowControl w:val="0"/>
        <w:kinsoku/>
        <w:wordWrap/>
        <w:overflowPunct/>
        <w:topLinePunct w:val="0"/>
        <w:autoSpaceDE/>
        <w:autoSpaceDN/>
        <w:bidi w:val="0"/>
        <w:ind w:firstLine="0" w:firstLineChars="0"/>
        <w:jc w:val="left"/>
        <w:rPr>
          <w:rFonts w:hint="default" w:ascii="Times New Roman" w:hAnsi="Times New Roman" w:eastAsia="黑体" w:cs="Times New Roman"/>
          <w:sz w:val="21"/>
          <w:szCs w:val="21"/>
        </w:rPr>
      </w:pPr>
      <w:r>
        <w:rPr>
          <w:rFonts w:hint="default" w:ascii="Times New Roman" w:hAnsi="Times New Roman" w:eastAsia="黑体" w:cs="Times New Roman"/>
          <w:sz w:val="21"/>
          <w:szCs w:val="21"/>
        </w:rPr>
        <w:t>注：“十四五”实施类项目总投资202.79亿元，预备类项目总投资588.5亿元，共计总投资791.29亿元。</w:t>
      </w:r>
    </w:p>
    <w:p>
      <w:pPr>
        <w:keepNext w:val="0"/>
        <w:keepLines w:val="0"/>
        <w:pageBreakBefore w:val="0"/>
        <w:widowControl w:val="0"/>
        <w:kinsoku/>
        <w:wordWrap/>
        <w:overflowPunct/>
        <w:topLinePunct w:val="0"/>
        <w:autoSpaceDE/>
        <w:autoSpaceDN/>
        <w:bidi w:val="0"/>
        <w:rPr>
          <w:rFonts w:hint="default" w:ascii="Times New Roman" w:hAnsi="Times New Roman" w:eastAsia="楷体" w:cs="Times New Roman"/>
          <w:i/>
          <w:iCs/>
          <w:szCs w:val="28"/>
        </w:rPr>
      </w:pPr>
      <w:r>
        <w:rPr>
          <w:rFonts w:hint="default" w:ascii="Times New Roman" w:hAnsi="Times New Roman" w:eastAsia="楷体" w:cs="Times New Roman"/>
          <w:i/>
          <w:iCs/>
          <w:szCs w:val="28"/>
        </w:rPr>
        <w:br w:type="page"/>
      </w:r>
    </w:p>
    <w:p>
      <w:pPr>
        <w:keepNext w:val="0"/>
        <w:keepLines w:val="0"/>
        <w:pageBreakBefore w:val="0"/>
        <w:widowControl w:val="0"/>
        <w:kinsoku/>
        <w:wordWrap/>
        <w:overflowPunct/>
        <w:topLinePunct w:val="0"/>
        <w:autoSpaceDE/>
        <w:autoSpaceDN/>
        <w:bidi w:val="0"/>
        <w:adjustRightInd/>
        <w:snapToGrid w:val="0"/>
        <w:spacing w:before="157" w:beforeLines="50" w:after="157" w:afterLines="50" w:line="560" w:lineRule="exact"/>
        <w:ind w:left="0" w:leftChars="0" w:firstLine="0" w:firstLineChars="0"/>
        <w:jc w:val="center"/>
        <w:textAlignment w:val="auto"/>
        <w:outlineLvl w:val="1"/>
        <w:rPr>
          <w:rFonts w:hint="default" w:ascii="Times New Roman" w:hAnsi="Times New Roman" w:eastAsia="仿宋_GB2312" w:cs="Times New Roman"/>
          <w:b/>
          <w:bCs/>
          <w:sz w:val="32"/>
          <w:szCs w:val="32"/>
        </w:rPr>
      </w:pPr>
      <w:bookmarkStart w:id="114" w:name="_Toc102660598"/>
      <w:r>
        <w:rPr>
          <w:rFonts w:hint="default" w:ascii="Times New Roman" w:hAnsi="Times New Roman" w:eastAsia="仿宋_GB2312" w:cs="Times New Roman"/>
          <w:b/>
          <w:bCs/>
          <w:sz w:val="32"/>
          <w:szCs w:val="32"/>
        </w:rPr>
        <w:t>平阳县综合交通运输“十四五”发展规划项目表（实施类）</w:t>
      </w:r>
      <w:bookmarkEnd w:id="114"/>
    </w:p>
    <w:tbl>
      <w:tblPr>
        <w:tblStyle w:val="16"/>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423"/>
        <w:gridCol w:w="2964"/>
        <w:gridCol w:w="710"/>
        <w:gridCol w:w="1970"/>
        <w:gridCol w:w="896"/>
        <w:gridCol w:w="1108"/>
        <w:gridCol w:w="1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tblHeader/>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序号</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项目名称</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建设性质</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建设规模</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总投资</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（亿元）</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“十四五”投资</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（亿元）</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组织实施单位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一</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公路</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326.5</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201.99</w:t>
            </w:r>
            <w:r>
              <w:rPr>
                <w:rFonts w:hint="default" w:ascii="Times New Roman" w:hAnsi="Times New Roman" w:cs="Times New Roman"/>
                <w:b/>
                <w:bCs/>
                <w:sz w:val="21"/>
                <w:szCs w:val="21"/>
              </w:rPr>
              <w:fldChar w:fldCharType="begin"/>
            </w:r>
            <w:r>
              <w:rPr>
                <w:rFonts w:hint="default" w:ascii="Times New Roman" w:hAnsi="Times New Roman" w:cs="Times New Roman"/>
                <w:b/>
                <w:bCs/>
                <w:sz w:val="21"/>
                <w:szCs w:val="21"/>
              </w:rPr>
              <w:instrText xml:space="preserve"> =SUM(ABOVE) \* MERGEFORMAT </w:instrText>
            </w:r>
            <w:r>
              <w:rPr>
                <w:rFonts w:hint="default" w:ascii="Times New Roman" w:hAnsi="Times New Roman" w:cs="Times New Roman"/>
                <w:b/>
                <w:bCs/>
                <w:sz w:val="21"/>
                <w:szCs w:val="21"/>
              </w:rPr>
              <w:fldChar w:fldCharType="end"/>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rPr>
              <w:t>1</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瑞平苍高速公路（龙丽温至甬台温复线联络线）</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续建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高速公路29公里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101</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98</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瑞平苍高速公路有限公司、</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cs="Times New Roman"/>
                <w:sz w:val="21"/>
                <w:szCs w:val="21"/>
              </w:rPr>
              <w:t>2</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G15 沈海高速公路温州市南白象枢纽至万全枢纽段改扩建工程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高速公路1.7公里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5.1</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0.3</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市交发集团、</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甬台温高速增设平阳北互通工程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续建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主线长拼宽 1040米，匝道总长 3.1公里，连接线长4.7 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9.6</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6.6</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甬台温高速增设鳌江互通</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续建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主线长拼宽1.1公里，匝道总长 1.3公里，连接线长2.4 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7.6</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104 国道瑞安仙降至平阳萧江段改建工程（平阳段）</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续建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27.2 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45.9</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228国道平阳榆垟至鳌江段公路工程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续建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11.4公里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18.1</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0.8</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7</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218省道平阳腾蛟至萧江段改建工程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该项目路线全长40.3公里（其中利用104国道5.265公里）、新建主线段29.335公里，连接线共长5.702公里，双向四车道一级公路。</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35.88</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12</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8</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219省道平阳怀溪至闹村段工程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该项目路线全长34.8公里，其中连接线长1.1公里，双向四车道一级公路。</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38.76</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9</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平阳县蒲山至满田农村道路提升工程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续建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四级公路 7.78公里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1.27</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0.37</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10</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平阳县水头镇鹏山村至新溪村农村道路改造提升工程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续建</w:t>
            </w:r>
          </w:p>
        </w:tc>
        <w:tc>
          <w:tcPr>
            <w:tcW w:w="1970"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四级公路 4.08 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0.82</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0.09</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11</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平阳县顺溪镇岭后村至顺溪村农村道路提升改造工程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续建</w:t>
            </w:r>
          </w:p>
        </w:tc>
        <w:tc>
          <w:tcPr>
            <w:tcW w:w="1970"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四级公路 10.08 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0.89</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0.25</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12</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港站城大道一期（鳌江火车站至昆阳）工程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路线全长3.1公里，采用双向两车道四级公路标准，路基宽度8米，设隧道一座长2121m</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6.79</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6.79</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13</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港站城大道二期（鳌江火车站至鳌江互通段）</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全长约3.799km，采用双向四车道一级公路标准，路基宽度24.5m。</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7.7</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7.7</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14</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古盘山快速通道</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（新园路至胜利东路段建设工程）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6.7 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9.8</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9.8</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15</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胜利路东延段（墨城互通至横山大道）工程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1.15 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2.14</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2.14</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16</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瑞平苍高速至南雁荡山景区北线工程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2.23公里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6.5</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6.5</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17</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瑞平苍高速至南雁荡山景区南线工程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3.41公里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4.5</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4.5</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18</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环南雁荡山景区道路工程一期</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(青街乡青街村至脑村乡上仕浪村农村道路提升改造工程)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三级公路 9.6公里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6.69</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6.69</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19</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228国道至昆鳌大道连接线工程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一级公路标准，设置双向四车道，全长约500米，设中桥一座60米。</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0.58</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0.58</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20</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萧龙线提升工程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二级公路 0.68公里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0.68</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0.68</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000000"/>
                <w:sz w:val="21"/>
                <w:szCs w:val="21"/>
              </w:rPr>
            </w:pPr>
            <w:r>
              <w:rPr>
                <w:rFonts w:hint="default" w:ascii="Times New Roman" w:hAnsi="Times New Roman" w:eastAsia="等线" w:cs="Times New Roman"/>
                <w:color w:val="000000"/>
                <w:sz w:val="21"/>
                <w:szCs w:val="21"/>
              </w:rPr>
              <w:t>21</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平阳苔湖至维新农村道路提升改造工程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四级公路 9.4 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0.8</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0.8</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000000"/>
                <w:sz w:val="21"/>
                <w:szCs w:val="21"/>
              </w:rPr>
            </w:pPr>
            <w:r>
              <w:rPr>
                <w:rFonts w:hint="default" w:ascii="Times New Roman" w:hAnsi="Times New Roman" w:eastAsia="等线" w:cs="Times New Roman"/>
                <w:color w:val="000000"/>
                <w:sz w:val="21"/>
                <w:szCs w:val="21"/>
              </w:rPr>
              <w:t>22</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麻步镇至104国道西过境连接线工程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2.0公里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1.5</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1.5</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23</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水头滨江大道新建工程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二级公路 2.8 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水头镇政府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24</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平阳闹村至联山农村道路提升改造工程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四级公路12公里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0.9</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0.9</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25</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平阳鹤溪至蔡垟农村道路提升改造工程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四级公路11.2公里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0.9</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0.9</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000000"/>
                <w:sz w:val="21"/>
                <w:szCs w:val="21"/>
              </w:rPr>
            </w:pPr>
            <w:r>
              <w:rPr>
                <w:rFonts w:hint="default" w:ascii="Times New Roman" w:hAnsi="Times New Roman" w:eastAsia="等线" w:cs="Times New Roman"/>
                <w:color w:val="000000"/>
                <w:sz w:val="21"/>
                <w:szCs w:val="21"/>
              </w:rPr>
              <w:t>26</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四好农村路</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农村公路新改建、养护、危病桥隧改造、安保、公交一体化、美丽公路等工程</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县四好办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二</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枢纽场站</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rPr>
            </w:pPr>
          </w:p>
        </w:tc>
        <w:tc>
          <w:tcPr>
            <w:tcW w:w="1970"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0.8</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0.8</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000000"/>
                <w:sz w:val="21"/>
                <w:szCs w:val="21"/>
              </w:rPr>
            </w:pPr>
            <w:r>
              <w:rPr>
                <w:rFonts w:hint="default" w:ascii="Times New Roman" w:hAnsi="Times New Roman" w:eastAsia="等线" w:cs="Times New Roman"/>
                <w:color w:val="000000"/>
                <w:sz w:val="21"/>
                <w:szCs w:val="21"/>
              </w:rPr>
              <w:t>1</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平阳县滨海新区客运站</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0.8</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0.8</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bl>
    <w:p>
      <w:pPr>
        <w:keepNext w:val="0"/>
        <w:keepLines w:val="0"/>
        <w:pageBreakBefore w:val="0"/>
        <w:widowControl w:val="0"/>
        <w:kinsoku/>
        <w:wordWrap/>
        <w:overflowPunct/>
        <w:topLinePunct w:val="0"/>
        <w:autoSpaceDE/>
        <w:autoSpaceDN/>
        <w:bidi w:val="0"/>
        <w:rPr>
          <w:rFonts w:hint="default" w:ascii="Times New Roman" w:hAnsi="Times New Roman" w:eastAsia="楷体" w:cs="Times New Roman"/>
          <w:i/>
          <w:iCs/>
          <w:szCs w:val="28"/>
        </w:rPr>
      </w:pPr>
      <w:r>
        <w:rPr>
          <w:rFonts w:hint="default" w:ascii="Times New Roman" w:hAnsi="Times New Roman" w:eastAsia="楷体" w:cs="Times New Roman"/>
          <w:i/>
          <w:iCs/>
          <w:szCs w:val="28"/>
        </w:rPr>
        <w:br w:type="page"/>
      </w:r>
    </w:p>
    <w:p>
      <w:pPr>
        <w:keepNext w:val="0"/>
        <w:keepLines w:val="0"/>
        <w:pageBreakBefore w:val="0"/>
        <w:widowControl w:val="0"/>
        <w:kinsoku/>
        <w:wordWrap/>
        <w:overflowPunct/>
        <w:topLinePunct w:val="0"/>
        <w:autoSpaceDE/>
        <w:autoSpaceDN/>
        <w:bidi w:val="0"/>
        <w:adjustRightInd/>
        <w:snapToGrid w:val="0"/>
        <w:spacing w:before="157" w:beforeLines="50" w:after="157" w:afterLines="50" w:line="560" w:lineRule="exact"/>
        <w:ind w:left="0" w:leftChars="0" w:firstLine="0" w:firstLineChars="0"/>
        <w:jc w:val="center"/>
        <w:textAlignment w:val="auto"/>
        <w:outlineLvl w:val="1"/>
        <w:rPr>
          <w:rFonts w:hint="default" w:ascii="Times New Roman" w:hAnsi="Times New Roman" w:eastAsia="仿宋_GB2312" w:cs="Times New Roman"/>
          <w:b/>
          <w:bCs/>
          <w:sz w:val="32"/>
          <w:szCs w:val="32"/>
        </w:rPr>
      </w:pPr>
      <w:bookmarkStart w:id="115" w:name="_Toc102660599"/>
      <w:r>
        <w:rPr>
          <w:rFonts w:hint="default" w:ascii="Times New Roman" w:hAnsi="Times New Roman" w:eastAsia="仿宋_GB2312" w:cs="Times New Roman"/>
          <w:b/>
          <w:bCs/>
          <w:sz w:val="32"/>
          <w:szCs w:val="32"/>
        </w:rPr>
        <w:t>平阳县综合交通运输“十四五”发展规划项目表（预备类）</w:t>
      </w:r>
      <w:bookmarkEnd w:id="115"/>
    </w:p>
    <w:tbl>
      <w:tblPr>
        <w:tblStyle w:val="16"/>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735"/>
        <w:gridCol w:w="2775"/>
        <w:gridCol w:w="1032"/>
        <w:gridCol w:w="1608"/>
        <w:gridCol w:w="1140"/>
        <w:gridCol w:w="1100"/>
        <w:gridCol w:w="1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tblHeader/>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序号</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项目名称</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建设性质</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建设规模</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总投资</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（亿元）</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“十四五”投资</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（亿元）</w:t>
            </w: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组织实施单位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一</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铁路</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b/>
                <w:bCs/>
                <w:sz w:val="21"/>
                <w:szCs w:val="21"/>
              </w:rPr>
              <w:t>160</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rPr>
              <w:t>1</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温福高铁（平阳段）</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国铁I级，双线29公里。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80</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市铁管中心、县铁路和轨道交通建设中心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cs="Times New Roman"/>
                <w:sz w:val="21"/>
                <w:szCs w:val="21"/>
              </w:rPr>
              <w:t>2</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温州市域轨道S3线二期（平阳段）</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市域轨道S3线瑞安南延至苍南。</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80</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市铁管中心、县铁路和轨道交通建设中心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二</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公路</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b/>
                <w:bCs/>
                <w:sz w:val="21"/>
                <w:szCs w:val="21"/>
              </w:rPr>
              <w:t>402.2</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rPr>
              <w:t>1</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温州绕城高速西南线海西互通工程</w:t>
            </w:r>
            <w:r>
              <w:rPr>
                <w:rFonts w:hint="default" w:ascii="Times New Roman" w:hAnsi="Times New Roman" w:cs="Times New Roman"/>
                <w:sz w:val="21"/>
                <w:szCs w:val="21"/>
              </w:rPr>
              <w:tab/>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主线长拼宽 1040米，匝道总长 3.1公里，连接线长4.7 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rPr>
              <w:t>2</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G15 沈海高速温州段改扩建工程（平阳万全至浙闽界段）</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高速公路26公里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76</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市交发集团、县交通运输局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rPr>
              <w:t>3</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合温高速南延（平阳段）</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高速公路16公里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滨海景观大道</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（浙南产业集聚区平阳分区至鳌江通港公路）</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7.98 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22.2</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22.2</w:t>
            </w: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环南雁荡山景区道路工程二期</w:t>
            </w:r>
          </w:p>
        </w:tc>
        <w:tc>
          <w:tcPr>
            <w:tcW w:w="1032"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二级公路20公里（其中扩建一期9.6公里）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20</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0"/>
                <w:szCs w:val="20"/>
              </w:rPr>
              <w:t>温瑞大道快速路平阳段南延伸线工程（万全至鳌江段）</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一级公路16.7公里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鳌江至萧江快速路工程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一级公路8.2公里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rPr>
              <w:t>35.0</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8</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鳌江至龙港快速路工程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一级公路5公里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rPr>
              <w:t>25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0"/>
                <w:szCs w:val="20"/>
              </w:rPr>
              <w:t>萧江至龙港公路平阳段工程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一级公路4公里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3.8</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104国道西过境至万锦公路连接线工程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0.5 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1.2</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11</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218省道至219省道北接线工程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15 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cs="Times New Roman"/>
                <w:sz w:val="21"/>
                <w:szCs w:val="21"/>
              </w:rPr>
              <w:t>10.5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12</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218省道至219省道南接线工程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15 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cs="Times New Roman"/>
                <w:sz w:val="21"/>
                <w:szCs w:val="21"/>
              </w:rPr>
              <w:t>8.6</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13</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平阳县57省道至104国道连接线公路</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5.9公里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7.3</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14</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平阳青街至苍南莒溪公路平阳段工程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二级公路5.0公里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rPr>
              <w:t xml:space="preserve">5.0 </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15</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平阳顺溪至泰顺九峰公路平阳段工程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三级公路 15.0公里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000000"/>
                <w:sz w:val="21"/>
                <w:szCs w:val="21"/>
              </w:rPr>
            </w:pPr>
            <w:r>
              <w:rPr>
                <w:rFonts w:hint="default" w:ascii="Times New Roman" w:hAnsi="Times New Roman" w:eastAsia="等线" w:cs="Times New Roman"/>
                <w:color w:val="000000"/>
                <w:sz w:val="21"/>
                <w:szCs w:val="21"/>
              </w:rPr>
              <w:t>16</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城新线昆阳至海西段改建工程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一级公路4.3公里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8</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000000"/>
                <w:sz w:val="21"/>
                <w:szCs w:val="21"/>
              </w:rPr>
            </w:pPr>
            <w:r>
              <w:rPr>
                <w:rFonts w:hint="default" w:ascii="Times New Roman" w:hAnsi="Times New Roman" w:eastAsia="等线" w:cs="Times New Roman"/>
                <w:color w:val="000000"/>
                <w:sz w:val="21"/>
                <w:szCs w:val="21"/>
              </w:rPr>
              <w:t>17</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平阳万全至瑞安马屿公路昆阳至马屿段工程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一级公路4.3公里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rPr>
              <w:t>3.55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000000"/>
                <w:sz w:val="21"/>
                <w:szCs w:val="21"/>
              </w:rPr>
            </w:pPr>
            <w:r>
              <w:rPr>
                <w:rFonts w:hint="default" w:ascii="Times New Roman" w:hAnsi="Times New Roman" w:eastAsia="等线" w:cs="Times New Roman"/>
                <w:color w:val="000000"/>
                <w:sz w:val="21"/>
                <w:szCs w:val="21"/>
              </w:rPr>
              <w:t>18</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钱马公路改建工程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二级公路5.0公里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rPr>
              <w:t xml:space="preserve">5.0 </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000000"/>
                <w:sz w:val="21"/>
                <w:szCs w:val="21"/>
              </w:rPr>
            </w:pPr>
            <w:r>
              <w:rPr>
                <w:rFonts w:hint="default" w:ascii="Times New Roman" w:hAnsi="Times New Roman" w:eastAsia="等线" w:cs="Times New Roman"/>
                <w:color w:val="000000"/>
                <w:sz w:val="21"/>
                <w:szCs w:val="21"/>
              </w:rPr>
              <w:t>19</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218省道连接瑞安平阳坑延伸线工程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一级公路4.3公里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rPr>
              <w:t>3.55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000000"/>
                <w:sz w:val="21"/>
                <w:szCs w:val="21"/>
              </w:rPr>
            </w:pPr>
            <w:r>
              <w:rPr>
                <w:rFonts w:hint="default" w:ascii="Times New Roman" w:hAnsi="Times New Roman" w:eastAsia="等线" w:cs="Times New Roman"/>
                <w:color w:val="000000"/>
                <w:sz w:val="21"/>
                <w:szCs w:val="21"/>
              </w:rPr>
              <w:t>20</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昆阳至滨海快速通道</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一级公路7.7公里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rPr>
              <w:t>8.5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三</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水运</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b/>
                <w:bCs/>
                <w:color w:val="000000"/>
                <w:kern w:val="0"/>
                <w:sz w:val="21"/>
                <w:szCs w:val="21"/>
              </w:rPr>
              <w:t>25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鳌江港西湾作业区码头工程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3000吨泊位码头3个</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平阳港区建设</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5000吨泊位码头5个</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20</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四</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民用机场</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b/>
                <w:bCs/>
                <w:sz w:val="21"/>
                <w:szCs w:val="21"/>
              </w:rPr>
              <w:t>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平阳通用航空机场</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二类通用机场</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五</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枢纽场站</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b/>
                <w:bCs/>
                <w:sz w:val="21"/>
                <w:szCs w:val="21"/>
              </w:rPr>
              <w:t>21.3</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鳌江高铁站综合交通枢纽</w:t>
            </w:r>
            <w:r>
              <w:rPr>
                <w:rFonts w:hint="default" w:ascii="Times New Roman" w:hAnsi="Times New Roman" w:cs="Times New Roman"/>
                <w:sz w:val="21"/>
                <w:szCs w:val="21"/>
              </w:rPr>
              <w:tab/>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一级客运站</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rPr>
              <w:t>3.5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温州鳌江流域副中心交通枢纽</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rPr>
              <w:t>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平阳客运站</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占地面积60亩</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rPr>
              <w:t>2</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平阳萧麻物流园建设项目</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综合服务型货运枢纽</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2"/>
              </w:rPr>
              <w:t>2.5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海西万鳌物流中心项目</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综合服务型货运枢纽，占地面积390亩</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2"/>
              </w:rPr>
              <w:t>6.8</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平阳北港流园建设项目</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综合服务型货运枢纽</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2"/>
              </w:rPr>
              <w:t>1.5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bl>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sectPr>
          <w:footerReference r:id="rId5" w:type="default"/>
          <w:pgSz w:w="11906" w:h="16838"/>
          <w:pgMar w:top="1701" w:right="1474" w:bottom="1417" w:left="1587" w:header="851" w:footer="1417" w:gutter="0"/>
          <w:pgNumType w:fmt="numberInDash"/>
          <w:cols w:space="0" w:num="1"/>
          <w:rtlGutter w:val="0"/>
          <w:docGrid w:type="lines" w:linePitch="312" w:charSpace="0"/>
        </w:sectPr>
      </w:pPr>
    </w:p>
    <w:p>
      <w:pPr>
        <w:pStyle w:val="2"/>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楷体" w:cs="Times New Roman"/>
          <w:i/>
          <w:iCs/>
          <w:szCs w:val="28"/>
        </w:rPr>
      </w:pPr>
      <w:r>
        <w:rPr>
          <w:szCs w:val="28"/>
        </w:rPr>
        <w:drawing>
          <wp:inline distT="0" distB="0" distL="114300" distR="114300">
            <wp:extent cx="11958955" cy="8279765"/>
            <wp:effectExtent l="0" t="0" r="4445" b="6985"/>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27"/>
                    <a:stretch>
                      <a:fillRect/>
                    </a:stretch>
                  </pic:blipFill>
                  <pic:spPr>
                    <a:xfrm>
                      <a:off x="0" y="0"/>
                      <a:ext cx="11958955" cy="8279765"/>
                    </a:xfrm>
                    <a:prstGeom prst="rect">
                      <a:avLst/>
                    </a:prstGeom>
                    <a:noFill/>
                    <a:ln>
                      <a:noFill/>
                    </a:ln>
                  </pic:spPr>
                </pic:pic>
              </a:graphicData>
            </a:graphic>
          </wp:inline>
        </w:drawing>
      </w:r>
    </w:p>
    <w:p>
      <w:pPr>
        <w:snapToGrid/>
        <w:ind w:firstLine="0" w:firstLineChars="0"/>
        <w:jc w:val="center"/>
        <w:rPr>
          <w:szCs w:val="28"/>
        </w:rPr>
      </w:pPr>
      <w:r>
        <w:rPr>
          <w:szCs w:val="28"/>
        </w:rPr>
        <w:drawing>
          <wp:inline distT="0" distB="0" distL="114300" distR="114300">
            <wp:extent cx="11959590" cy="8279765"/>
            <wp:effectExtent l="0" t="0" r="3810" b="6985"/>
            <wp:docPr id="5"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true"/>
                    </pic:cNvPicPr>
                  </pic:nvPicPr>
                  <pic:blipFill>
                    <a:blip r:embed="rId28"/>
                    <a:stretch>
                      <a:fillRect/>
                    </a:stretch>
                  </pic:blipFill>
                  <pic:spPr>
                    <a:xfrm>
                      <a:off x="0" y="0"/>
                      <a:ext cx="11959590" cy="8279765"/>
                    </a:xfrm>
                    <a:prstGeom prst="rect">
                      <a:avLst/>
                    </a:prstGeom>
                    <a:noFill/>
                    <a:ln>
                      <a:noFill/>
                    </a:ln>
                  </pic:spPr>
                </pic:pic>
              </a:graphicData>
            </a:graphic>
          </wp:inline>
        </w:drawing>
      </w:r>
    </w:p>
    <w:p>
      <w:pPr>
        <w:snapToGrid/>
        <w:ind w:firstLine="0" w:firstLineChars="0"/>
        <w:jc w:val="center"/>
        <w:rPr>
          <w:szCs w:val="28"/>
        </w:rPr>
      </w:pPr>
      <w:r>
        <w:rPr>
          <w:szCs w:val="28"/>
        </w:rPr>
        <w:drawing>
          <wp:inline distT="0" distB="0" distL="114300" distR="114300">
            <wp:extent cx="11957685" cy="8279765"/>
            <wp:effectExtent l="0" t="0" r="5715" b="6985"/>
            <wp:docPr id="4"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true"/>
                    </pic:cNvPicPr>
                  </pic:nvPicPr>
                  <pic:blipFill>
                    <a:blip r:embed="rId29"/>
                    <a:stretch>
                      <a:fillRect/>
                    </a:stretch>
                  </pic:blipFill>
                  <pic:spPr>
                    <a:xfrm>
                      <a:off x="0" y="0"/>
                      <a:ext cx="11957685" cy="8279765"/>
                    </a:xfrm>
                    <a:prstGeom prst="rect">
                      <a:avLst/>
                    </a:prstGeom>
                    <a:noFill/>
                    <a:ln>
                      <a:noFill/>
                    </a:ln>
                  </pic:spPr>
                </pic:pic>
              </a:graphicData>
            </a:graphic>
          </wp:inline>
        </w:drawing>
      </w:r>
    </w:p>
    <w:p>
      <w:pPr>
        <w:snapToGrid/>
        <w:ind w:firstLine="0" w:firstLineChars="0"/>
        <w:jc w:val="center"/>
        <w:rPr>
          <w:szCs w:val="28"/>
        </w:rPr>
      </w:pPr>
      <w:r>
        <w:rPr>
          <w:szCs w:val="28"/>
        </w:rPr>
        <w:drawing>
          <wp:inline distT="0" distB="0" distL="114300" distR="114300">
            <wp:extent cx="11952605" cy="8279765"/>
            <wp:effectExtent l="0" t="0" r="10795" b="6985"/>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30"/>
                    <a:stretch>
                      <a:fillRect/>
                    </a:stretch>
                  </pic:blipFill>
                  <pic:spPr>
                    <a:xfrm>
                      <a:off x="0" y="0"/>
                      <a:ext cx="11952605" cy="8279765"/>
                    </a:xfrm>
                    <a:prstGeom prst="rect">
                      <a:avLst/>
                    </a:prstGeom>
                    <a:noFill/>
                    <a:ln>
                      <a:noFill/>
                    </a:ln>
                  </pic:spPr>
                </pic:pic>
              </a:graphicData>
            </a:graphic>
          </wp:inline>
        </w:drawing>
      </w:r>
    </w:p>
    <w:p>
      <w:pPr>
        <w:snapToGrid/>
        <w:ind w:firstLine="0" w:firstLineChars="0"/>
        <w:jc w:val="center"/>
        <w:rPr>
          <w:szCs w:val="28"/>
        </w:rPr>
      </w:pPr>
      <w:r>
        <w:rPr>
          <w:szCs w:val="28"/>
        </w:rPr>
        <w:drawing>
          <wp:inline distT="0" distB="0" distL="114300" distR="114300">
            <wp:extent cx="11952605" cy="8279765"/>
            <wp:effectExtent l="0" t="0" r="10795" b="6985"/>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31"/>
                    <a:stretch>
                      <a:fillRect/>
                    </a:stretch>
                  </pic:blipFill>
                  <pic:spPr>
                    <a:xfrm>
                      <a:off x="0" y="0"/>
                      <a:ext cx="11952605" cy="8279765"/>
                    </a:xfrm>
                    <a:prstGeom prst="rect">
                      <a:avLst/>
                    </a:prstGeom>
                    <a:noFill/>
                    <a:ln>
                      <a:noFill/>
                    </a:ln>
                  </pic:spPr>
                </pic:pic>
              </a:graphicData>
            </a:graphic>
          </wp:inline>
        </w:drawing>
      </w:r>
    </w:p>
    <w:p>
      <w:pPr>
        <w:snapToGrid/>
        <w:ind w:firstLine="0" w:firstLineChars="0"/>
        <w:jc w:val="center"/>
        <w:rPr>
          <w:szCs w:val="28"/>
        </w:rPr>
      </w:pPr>
      <w:r>
        <w:rPr>
          <w:szCs w:val="28"/>
        </w:rPr>
        <w:drawing>
          <wp:inline distT="0" distB="0" distL="114300" distR="114300">
            <wp:extent cx="11964035" cy="8279765"/>
            <wp:effectExtent l="0" t="0" r="18415" b="6985"/>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32"/>
                    <a:stretch>
                      <a:fillRect/>
                    </a:stretch>
                  </pic:blipFill>
                  <pic:spPr>
                    <a:xfrm>
                      <a:off x="0" y="0"/>
                      <a:ext cx="11964035" cy="8279765"/>
                    </a:xfrm>
                    <a:prstGeom prst="rect">
                      <a:avLst/>
                    </a:prstGeom>
                    <a:noFill/>
                    <a:ln>
                      <a:noFill/>
                    </a:ln>
                  </pic:spPr>
                </pic:pic>
              </a:graphicData>
            </a:graphic>
          </wp:inline>
        </w:drawing>
      </w:r>
    </w:p>
    <w:p>
      <w:pPr>
        <w:snapToGrid/>
        <w:ind w:firstLine="0" w:firstLineChars="0"/>
        <w:jc w:val="center"/>
        <w:rPr>
          <w:rFonts w:hint="default" w:ascii="Times New Roman" w:hAnsi="Times New Roman" w:eastAsia="楷体" w:cs="Times New Roman"/>
          <w:i/>
          <w:iCs/>
          <w:szCs w:val="28"/>
        </w:rPr>
      </w:pPr>
      <w:r>
        <w:rPr>
          <w:szCs w:val="28"/>
        </w:rPr>
        <w:drawing>
          <wp:inline distT="0" distB="0" distL="114300" distR="114300">
            <wp:extent cx="11953875" cy="8279765"/>
            <wp:effectExtent l="0" t="0" r="9525" b="6985"/>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33"/>
                    <a:stretch>
                      <a:fillRect/>
                    </a:stretch>
                  </pic:blipFill>
                  <pic:spPr>
                    <a:xfrm>
                      <a:off x="0" y="0"/>
                      <a:ext cx="11953875" cy="827976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spacing w:line="240" w:lineRule="auto"/>
        <w:ind w:left="0" w:leftChars="0" w:firstLine="0" w:firstLineChars="0"/>
        <w:rPr>
          <w:rFonts w:hint="default" w:ascii="Times New Roman" w:hAnsi="Times New Roman" w:eastAsia="楷体" w:cs="Times New Roman"/>
          <w:i/>
          <w:iCs/>
          <w:szCs w:val="28"/>
        </w:rPr>
        <w:sectPr>
          <w:headerReference r:id="rId6" w:type="default"/>
          <w:pgSz w:w="23811" w:h="16838" w:orient="landscape"/>
          <w:pgMar w:top="1587" w:right="1474" w:bottom="1474" w:left="1587" w:header="851" w:footer="1417" w:gutter="0"/>
          <w:pgNumType w:fmt="numberInDash"/>
          <w:cols w:space="0" w:num="1"/>
          <w:rtlGutter w:val="0"/>
          <w:docGrid w:type="lines" w:linePitch="312" w:charSpace="0"/>
        </w:sect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adjustRightInd/>
        <w:snapToGrid w:val="0"/>
        <w:spacing w:line="400" w:lineRule="exact"/>
        <w:ind w:left="0" w:leftChars="0" w:firstLine="0" w:firstLineChars="0"/>
        <w:textAlignment w:val="auto"/>
        <w:rPr>
          <w:rFonts w:hint="default" w:ascii="Times New Roman" w:hAnsi="Times New Roman" w:eastAsia="楷体" w:cs="Times New Roman"/>
          <w:i/>
          <w:iCs/>
          <w:szCs w:val="28"/>
        </w:rPr>
      </w:pPr>
    </w:p>
    <w:p>
      <w:pPr>
        <w:keepNext w:val="0"/>
        <w:keepLines w:val="0"/>
        <w:widowControl w:val="0"/>
        <w:suppressLineNumbers w:val="0"/>
        <w:spacing w:before="0" w:beforeAutospacing="0" w:after="0" w:afterAutospacing="0" w:line="600" w:lineRule="exact"/>
        <w:ind w:left="1050" w:leftChars="75" w:right="0" w:hanging="840" w:hangingChars="400"/>
        <w:jc w:val="both"/>
        <w:rPr>
          <w:rFonts w:hint="eastAsia" w:ascii="仿宋_GB2312" w:eastAsia="仿宋_GB2312" w:cs="仿宋_GB2312"/>
          <w:color w:val="000000"/>
          <w:sz w:val="28"/>
          <w:szCs w:val="28"/>
          <w:lang w:val="en-US"/>
        </w:rPr>
      </w:pPr>
      <w:r>
        <w:rPr>
          <w:rFonts w:hint="default" w:ascii="Times New Roman" w:hAnsi="Times New Roman" w:eastAsia="宋体" w:cs="Times New Roman"/>
          <w:kern w:val="2"/>
          <w:sz w:val="21"/>
          <w:szCs w:val="24"/>
          <w:lang w:val="en-US" w:eastAsia="zh-CN" w:bidi="ar"/>
        </w:rPr>
        <mc:AlternateContent>
          <mc:Choice Requires="wps">
            <w:drawing>
              <wp:anchor distT="0" distB="0" distL="114935" distR="114935" simplePos="0" relativeHeight="251661312" behindDoc="0" locked="0" layoutInCell="1" allowOverlap="1">
                <wp:simplePos x="0" y="0"/>
                <wp:positionH relativeFrom="column">
                  <wp:posOffset>0</wp:posOffset>
                </wp:positionH>
                <wp:positionV relativeFrom="paragraph">
                  <wp:posOffset>22860</wp:posOffset>
                </wp:positionV>
                <wp:extent cx="5667375" cy="0"/>
                <wp:effectExtent l="0" t="0" r="0" b="0"/>
                <wp:wrapNone/>
                <wp:docPr id="26" name="直线 18"/>
                <wp:cNvGraphicFramePr/>
                <a:graphic xmlns:a="http://schemas.openxmlformats.org/drawingml/2006/main">
                  <a:graphicData uri="http://schemas.microsoft.com/office/word/2010/wordprocessingShape">
                    <wps:wsp>
                      <wps:cNvCnPr/>
                      <wps:spPr>
                        <a:xfrm>
                          <a:off x="0" y="0"/>
                          <a:ext cx="5667375" cy="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直线 18" o:spid="_x0000_s1026" o:spt="20" style="position:absolute;left:0pt;margin-left:0pt;margin-top:1.8pt;height:0pt;width:446.25pt;z-index:251661312;mso-width-relative:page;mso-height-relative:page;" filled="f" stroked="t" coordsize="21600,21600" o:gfxdata="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BhUUXj0wAAAAQB&#10;AAAPAAAAAAAAAAEAIAAAADgAAABkcnMvZG93bnJldi54bWxQSwECFAAUAAAACACHTuJAEb3iPNEB&#10;AACSAwAADgAAAAAAAAABACAAAAA4AQAAZHJzL2Uyb0RvYy54bWxQSwUGAAAAAAYABgBZAQAAewUA&#10;AAAA&#10;">
                <v:fill on="f" focussize="0,0"/>
                <v:stroke color="#000000" joinstyle="round"/>
                <v:imagedata o:title=""/>
                <o:lock v:ext="edit" aspectratio="f"/>
              </v:line>
            </w:pict>
          </mc:Fallback>
        </mc:AlternateContent>
      </w:r>
      <w:r>
        <w:rPr>
          <w:rFonts w:hint="eastAsia" w:ascii="仿宋_GB2312" w:hAnsi="Times New Roman" w:eastAsia="仿宋_GB2312" w:cs="仿宋_GB2312"/>
          <w:color w:val="000000"/>
          <w:kern w:val="2"/>
          <w:sz w:val="28"/>
          <w:szCs w:val="28"/>
          <w:lang w:val="en-US" w:eastAsia="zh-CN" w:bidi="ar"/>
        </w:rPr>
        <w:t>抄送：</w:t>
      </w:r>
      <w:r>
        <w:rPr>
          <w:rFonts w:hint="default" w:ascii="Times New Roman" w:hAnsi="Times New Roman" w:eastAsia="宋体" w:cs="Times New Roman"/>
          <w:kern w:val="2"/>
          <w:sz w:val="21"/>
          <w:szCs w:val="24"/>
          <w:lang w:val="en-US" w:eastAsia="zh-CN" w:bidi="ar"/>
        </w:rPr>
        <mc:AlternateContent>
          <mc:Choice Requires="wps">
            <w:drawing>
              <wp:anchor distT="0" distB="0" distL="114935" distR="114935" simplePos="0" relativeHeight="251662336" behindDoc="0" locked="0" layoutInCell="1" allowOverlap="1">
                <wp:simplePos x="0" y="0"/>
                <wp:positionH relativeFrom="column">
                  <wp:posOffset>0</wp:posOffset>
                </wp:positionH>
                <wp:positionV relativeFrom="paragraph">
                  <wp:posOffset>22860</wp:posOffset>
                </wp:positionV>
                <wp:extent cx="5667375" cy="0"/>
                <wp:effectExtent l="0" t="0" r="0" b="0"/>
                <wp:wrapNone/>
                <wp:docPr id="27" name="直线 19"/>
                <wp:cNvGraphicFramePr/>
                <a:graphic xmlns:a="http://schemas.openxmlformats.org/drawingml/2006/main">
                  <a:graphicData uri="http://schemas.microsoft.com/office/word/2010/wordprocessingShape">
                    <wps:wsp>
                      <wps:cNvCnPr/>
                      <wps:spPr>
                        <a:xfrm>
                          <a:off x="0" y="0"/>
                          <a:ext cx="5667375" cy="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直线 19" o:spid="_x0000_s1026" o:spt="20" style="position:absolute;left:0pt;margin-left:0pt;margin-top:1.8pt;height:0pt;width:446.25pt;z-index:251662336;mso-width-relative:page;mso-height-relative:page;" filled="f" stroked="t" coordsize="21600,21600" o:gfxdata="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YVFF49MAAAAE&#10;AQAADwAAAAAAAAABACAAAAA4AAAAZHJzL2Rvd25yZXYueG1sUEsBAhQAFAAAAAgAh07iQJ+0MxbS&#10;AQAAkgMAAA4AAAAAAAAAAQAgAAAAOAEAAGRycy9lMm9Eb2MueG1sUEsFBgAAAAAGAAYAWQEAAHwF&#10;AAAAAA==&#10;">
                <v:fill on="f" focussize="0,0"/>
                <v:stroke color="#000000" joinstyle="round"/>
                <v:imagedata o:title=""/>
                <o:lock v:ext="edit" aspectratio="f"/>
              </v:line>
            </w:pict>
          </mc:Fallback>
        </mc:AlternateContent>
      </w:r>
      <w:r>
        <w:rPr>
          <w:rFonts w:hint="default" w:ascii="仿宋_GB2312" w:cs="仿宋_GB2312"/>
          <w:color w:val="000000"/>
          <w:kern w:val="2"/>
          <w:sz w:val="28"/>
          <w:szCs w:val="28"/>
          <w:lang w:val="en" w:eastAsia="zh-CN" w:bidi="ar"/>
        </w:rPr>
        <w:t>县</w:t>
      </w:r>
      <w:r>
        <w:rPr>
          <w:rFonts w:hint="eastAsia" w:ascii="仿宋_GB2312" w:hAnsi="Times New Roman" w:eastAsia="仿宋_GB2312" w:cs="仿宋_GB2312"/>
          <w:color w:val="000000"/>
          <w:kern w:val="2"/>
          <w:sz w:val="28"/>
          <w:szCs w:val="28"/>
          <w:lang w:val="en-US" w:eastAsia="zh-CN" w:bidi="ar"/>
        </w:rPr>
        <w:t>各部门，县人大常委会、县政协办公室，县人武部，县法院，县检察院，各人民团体。</w:t>
      </w:r>
    </w:p>
    <w:p>
      <w:pPr>
        <w:keepNext w:val="0"/>
        <w:keepLines w:val="0"/>
        <w:widowControl w:val="0"/>
        <w:suppressLineNumbers w:val="0"/>
        <w:spacing w:before="0" w:beforeAutospacing="0" w:after="0" w:afterAutospacing="0" w:line="600" w:lineRule="exact"/>
        <w:ind w:left="0" w:right="0" w:firstLine="210" w:firstLineChars="100"/>
        <w:jc w:val="both"/>
        <w:rPr>
          <w:rFonts w:hint="default" w:ascii="Times New Roman" w:hAnsi="Times New Roman" w:eastAsia="楷体" w:cs="Times New Roman"/>
          <w:i/>
          <w:iCs/>
          <w:szCs w:val="28"/>
        </w:rPr>
      </w:pPr>
      <w:r>
        <w:rPr>
          <w:rFonts w:hint="default" w:ascii="Times New Roman" w:hAnsi="Times New Roman" w:eastAsia="宋体" w:cs="Times New Roman"/>
          <w:kern w:val="2"/>
          <w:sz w:val="21"/>
          <w:szCs w:val="24"/>
          <w:lang w:val="en-US" w:eastAsia="zh-CN" w:bidi="ar"/>
        </w:rPr>
        <mc:AlternateContent>
          <mc:Choice Requires="wps">
            <w:drawing>
              <wp:anchor distT="0" distB="0" distL="114935" distR="114935" simplePos="0" relativeHeight="251659264" behindDoc="0" locked="0" layoutInCell="1" allowOverlap="1">
                <wp:simplePos x="0" y="0"/>
                <wp:positionH relativeFrom="column">
                  <wp:posOffset>0</wp:posOffset>
                </wp:positionH>
                <wp:positionV relativeFrom="paragraph">
                  <wp:posOffset>416560</wp:posOffset>
                </wp:positionV>
                <wp:extent cx="5667375" cy="0"/>
                <wp:effectExtent l="0" t="0" r="0" b="0"/>
                <wp:wrapNone/>
                <wp:docPr id="28" name="直线 20"/>
                <wp:cNvGraphicFramePr/>
                <a:graphic xmlns:a="http://schemas.openxmlformats.org/drawingml/2006/main">
                  <a:graphicData uri="http://schemas.microsoft.com/office/word/2010/wordprocessingShape">
                    <wps:wsp>
                      <wps:cNvCnPr/>
                      <wps:spPr>
                        <a:xfrm>
                          <a:off x="0" y="0"/>
                          <a:ext cx="5667375" cy="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直线 20" o:spid="_x0000_s1026" o:spt="20" style="position:absolute;left:0pt;margin-left:0pt;margin-top:32.8pt;height:0pt;width:446.25pt;z-index:251659264;mso-width-relative:page;mso-height-relative:page;" filled="f" stroked="t" coordsize="21600,21600" o:gfxdata="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BYAAABkcnMvUEsBAhQAFAAAAAgAh07iQPDG8CvUAAAABgEA&#10;AA8AAAAAAAAAAQAgAAAAOAAAAGRycy9kb3ducmV2LnhtbFBLAQIUABQAAAAIAIdO4kDxF2MwzwEA&#10;AJIDAAAOAAAAAAAAAAEAIAAAADkBAABkcnMvZTJvRG9jLnhtbFBLBQYAAAAABgAGAFkBAAB6BQAA&#10;AAA=&#10;">
                <v:fill on="f" focussize="0,0"/>
                <v:stroke color="#000000" joinstyle="round"/>
                <v:imagedata o:title=""/>
                <o:lock v:ext="edit" aspectratio="f"/>
              </v:line>
            </w:pict>
          </mc:Fallback>
        </mc:AlternateContent>
      </w:r>
      <w:r>
        <w:rPr>
          <w:rFonts w:hint="default" w:ascii="Times New Roman" w:hAnsi="Times New Roman" w:eastAsia="宋体" w:cs="Times New Roman"/>
          <w:kern w:val="2"/>
          <w:sz w:val="21"/>
          <w:szCs w:val="24"/>
          <w:lang w:val="en-US" w:eastAsia="zh-CN" w:bidi="ar"/>
        </w:rPr>
        <mc:AlternateContent>
          <mc:Choice Requires="wps">
            <w:drawing>
              <wp:anchor distT="0" distB="0" distL="114935" distR="114935" simplePos="0" relativeHeight="251660288" behindDoc="0" locked="0" layoutInCell="1" allowOverlap="1">
                <wp:simplePos x="0" y="0"/>
                <wp:positionH relativeFrom="column">
                  <wp:posOffset>0</wp:posOffset>
                </wp:positionH>
                <wp:positionV relativeFrom="paragraph">
                  <wp:posOffset>22860</wp:posOffset>
                </wp:positionV>
                <wp:extent cx="5667375" cy="0"/>
                <wp:effectExtent l="0" t="0" r="0" b="0"/>
                <wp:wrapNone/>
                <wp:docPr id="29" name="直线 21"/>
                <wp:cNvGraphicFramePr/>
                <a:graphic xmlns:a="http://schemas.openxmlformats.org/drawingml/2006/main">
                  <a:graphicData uri="http://schemas.microsoft.com/office/word/2010/wordprocessingShape">
                    <wps:wsp>
                      <wps:cNvCnPr/>
                      <wps:spPr>
                        <a:xfrm>
                          <a:off x="0" y="0"/>
                          <a:ext cx="5667375" cy="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直线 21" o:spid="_x0000_s1026" o:spt="20" style="position:absolute;left:0pt;margin-left:0pt;margin-top:1.8pt;height:0pt;width:446.25pt;z-index:251660288;mso-width-relative:page;mso-height-relative:page;" filled="f" stroked="t" coordsize="21600,21600" o:gfxdata="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YVFF49MAAAAE&#10;AQAADwAAAAAAAAABACAAAAA4AAAAZHJzL2Rvd25yZXYueG1sUEsBAhQAFAAAAAgAh07iQH8eshrS&#10;AQAAkgMAAA4AAAAAAAAAAQAgAAAAOAEAAGRycy9lMm9Eb2MueG1sUEsFBgAAAAAGAAYAWQEAAHwF&#10;AAAAAA==&#10;">
                <v:fill on="f" focussize="0,0"/>
                <v:stroke color="#000000" joinstyle="round"/>
                <v:imagedata o:title=""/>
                <o:lock v:ext="edit" aspectratio="f"/>
              </v:line>
            </w:pict>
          </mc:Fallback>
        </mc:AlternateContent>
      </w:r>
      <w:r>
        <w:rPr>
          <w:rFonts w:hint="eastAsia" w:ascii="仿宋_GB2312" w:hAnsi="Times New Roman" w:eastAsia="仿宋_GB2312" w:cs="仿宋_GB2312"/>
          <w:color w:val="000000"/>
          <w:kern w:val="2"/>
          <w:sz w:val="28"/>
          <w:szCs w:val="28"/>
          <w:lang w:val="en-US" w:eastAsia="zh-CN" w:bidi="ar"/>
        </w:rPr>
        <w:t xml:space="preserve">平阳县人民政府办公室                    </w:t>
      </w:r>
      <w:r>
        <w:rPr>
          <w:rFonts w:hint="eastAsia" w:ascii="仿宋_GB2312" w:cs="仿宋_GB2312"/>
          <w:color w:val="000000"/>
          <w:kern w:val="2"/>
          <w:sz w:val="28"/>
          <w:szCs w:val="28"/>
          <w:lang w:val="en-US" w:eastAsia="zh-CN" w:bidi="ar"/>
        </w:rPr>
        <w:t xml:space="preserve"> </w:t>
      </w:r>
      <w:r>
        <w:rPr>
          <w:rFonts w:hint="eastAsia" w:ascii="仿宋_GB2312" w:hAnsi="Times New Roman" w:eastAsia="仿宋_GB2312" w:cs="仿宋_GB2312"/>
          <w:color w:val="000000"/>
          <w:kern w:val="2"/>
          <w:sz w:val="28"/>
          <w:szCs w:val="28"/>
          <w:lang w:val="en-US" w:eastAsia="zh-CN" w:bidi="ar"/>
        </w:rPr>
        <w:t xml:space="preserve"> 2022年7月7日印发</w:t>
      </w:r>
    </w:p>
    <w:sectPr>
      <w:pgSz w:w="11915" w:h="16840"/>
      <w:pgMar w:top="1701" w:right="1474" w:bottom="1417" w:left="1587" w:header="851" w:footer="1417" w:gutter="0"/>
      <w:pgNumType w:fmt="numberInDash"/>
      <w:cols w:space="0" w:num="1"/>
      <w:rtlGutter w:val="0"/>
      <w:docGrid w:type="linesAndChars" w:linePitch="40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方正小标宋简体">
    <w:panose1 w:val="02000000000000000000"/>
    <w:charset w:val="86"/>
    <w:family w:val="auto"/>
    <w:pitch w:val="default"/>
    <w:sig w:usb0="A00002BF" w:usb1="184F6CFA" w:usb2="00000012" w:usb3="00000000" w:csb0="00040001" w:csb1="00000000"/>
  </w:font>
  <w:font w:name="华文中宋">
    <w:altName w:val="汉仪中宋简"/>
    <w:panose1 w:val="02010600040101010101"/>
    <w:charset w:val="86"/>
    <w:family w:val="auto"/>
    <w:pitch w:val="default"/>
    <w:sig w:usb0="00000000" w:usb1="00000000" w:usb2="00000000" w:usb3="00000000" w:csb0="0004009F" w:csb1="DFD70000"/>
  </w:font>
  <w:font w:name="微软雅黑">
    <w:altName w:val="黑体"/>
    <w:panose1 w:val="020B0503020204020204"/>
    <w:charset w:val="86"/>
    <w:family w:val="swiss"/>
    <w:pitch w:val="default"/>
    <w:sig w:usb0="00000000" w:usb1="0000000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等线">
    <w:altName w:val="华文仿宋"/>
    <w:panose1 w:val="02010600030101010101"/>
    <w:charset w:val="86"/>
    <w:family w:val="auto"/>
    <w:pitch w:val="default"/>
    <w:sig w:usb0="00000000" w:usb1="00000000" w:usb2="00000016" w:usb3="00000000" w:csb0="0004000F"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0" w:leftChars="0" w:firstLine="0" w:firstLineChars="0"/>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jc w:val="left"/>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hDfMSHQIAACs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KEN8xIdAgAAKwQAAA4AAAAAAAAAAQAgAAAANQEAAGRycy9lMm9Eb2MueG1sUEsF&#10;BgAAAAAGAAYAWQEAAMQFAAAAAA==&#10;">
              <v:fill on="f" focussize="0,0"/>
              <v:stroke on="f" weight="0.5pt"/>
              <v:imagedata o:title=""/>
              <o:lock v:ext="edit" aspectratio="f"/>
              <v:textbox inset="0mm,0mm,0mm,0mm" style="mso-fit-shape-to-text:t;">
                <w:txbxContent>
                  <w:p>
                    <w:pPr>
                      <w:pStyle w:val="10"/>
                      <w:jc w:val="left"/>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1"/>
      <w:jc w:val="right"/>
      <w:rPr>
        <w:b/>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222014"/>
    <w:multiLevelType w:val="multilevel"/>
    <w:tmpl w:val="05222014"/>
    <w:lvl w:ilvl="0" w:tentative="0">
      <w:start w:val="1"/>
      <w:numFmt w:val="bullet"/>
      <w:lvlText w:val=""/>
      <w:lvlJc w:val="left"/>
      <w:pPr>
        <w:ind w:left="1060" w:hanging="420"/>
      </w:pPr>
      <w:rPr>
        <w:rFonts w:hint="default" w:ascii="Wingdings" w:hAnsi="Wingdings"/>
      </w:rPr>
    </w:lvl>
    <w:lvl w:ilvl="1" w:tentative="0">
      <w:start w:val="1"/>
      <w:numFmt w:val="bullet"/>
      <w:lvlText w:val=""/>
      <w:lvlJc w:val="left"/>
      <w:pPr>
        <w:ind w:left="1480" w:hanging="420"/>
      </w:pPr>
      <w:rPr>
        <w:rFonts w:hint="default" w:ascii="Wingdings" w:hAnsi="Wingdings"/>
      </w:rPr>
    </w:lvl>
    <w:lvl w:ilvl="2" w:tentative="0">
      <w:start w:val="1"/>
      <w:numFmt w:val="bullet"/>
      <w:lvlText w:val=""/>
      <w:lvlJc w:val="left"/>
      <w:pPr>
        <w:ind w:left="1900" w:hanging="420"/>
      </w:pPr>
      <w:rPr>
        <w:rFonts w:hint="default" w:ascii="Wingdings" w:hAnsi="Wingdings"/>
      </w:rPr>
    </w:lvl>
    <w:lvl w:ilvl="3" w:tentative="0">
      <w:start w:val="1"/>
      <w:numFmt w:val="bullet"/>
      <w:lvlText w:val=""/>
      <w:lvlJc w:val="left"/>
      <w:pPr>
        <w:ind w:left="2320" w:hanging="420"/>
      </w:pPr>
      <w:rPr>
        <w:rFonts w:hint="default" w:ascii="Wingdings" w:hAnsi="Wingdings"/>
      </w:rPr>
    </w:lvl>
    <w:lvl w:ilvl="4" w:tentative="0">
      <w:start w:val="1"/>
      <w:numFmt w:val="bullet"/>
      <w:lvlText w:val=""/>
      <w:lvlJc w:val="left"/>
      <w:pPr>
        <w:ind w:left="2740" w:hanging="420"/>
      </w:pPr>
      <w:rPr>
        <w:rFonts w:hint="default" w:ascii="Wingdings" w:hAnsi="Wingdings"/>
      </w:rPr>
    </w:lvl>
    <w:lvl w:ilvl="5" w:tentative="0">
      <w:start w:val="1"/>
      <w:numFmt w:val="bullet"/>
      <w:lvlText w:val=""/>
      <w:lvlJc w:val="left"/>
      <w:pPr>
        <w:ind w:left="3160" w:hanging="420"/>
      </w:pPr>
      <w:rPr>
        <w:rFonts w:hint="default" w:ascii="Wingdings" w:hAnsi="Wingdings"/>
      </w:rPr>
    </w:lvl>
    <w:lvl w:ilvl="6" w:tentative="0">
      <w:start w:val="1"/>
      <w:numFmt w:val="bullet"/>
      <w:lvlText w:val=""/>
      <w:lvlJc w:val="left"/>
      <w:pPr>
        <w:ind w:left="3580" w:hanging="420"/>
      </w:pPr>
      <w:rPr>
        <w:rFonts w:hint="default" w:ascii="Wingdings" w:hAnsi="Wingdings"/>
      </w:rPr>
    </w:lvl>
    <w:lvl w:ilvl="7" w:tentative="0">
      <w:start w:val="1"/>
      <w:numFmt w:val="bullet"/>
      <w:lvlText w:val=""/>
      <w:lvlJc w:val="left"/>
      <w:pPr>
        <w:ind w:left="4000" w:hanging="420"/>
      </w:pPr>
      <w:rPr>
        <w:rFonts w:hint="default" w:ascii="Wingdings" w:hAnsi="Wingdings"/>
      </w:rPr>
    </w:lvl>
    <w:lvl w:ilvl="8" w:tentative="0">
      <w:start w:val="1"/>
      <w:numFmt w:val="bullet"/>
      <w:lvlText w:val=""/>
      <w:lvlJc w:val="left"/>
      <w:pPr>
        <w:ind w:left="4420" w:hanging="420"/>
      </w:pPr>
      <w:rPr>
        <w:rFonts w:hint="default" w:ascii="Wingdings" w:hAnsi="Wingdings"/>
      </w:rPr>
    </w:lvl>
  </w:abstractNum>
  <w:abstractNum w:abstractNumId="1">
    <w:nsid w:val="13857F84"/>
    <w:multiLevelType w:val="multilevel"/>
    <w:tmpl w:val="13857F84"/>
    <w:lvl w:ilvl="0" w:tentative="0">
      <w:start w:val="1"/>
      <w:numFmt w:val="bullet"/>
      <w:lvlText w:val=""/>
      <w:lvlJc w:val="left"/>
      <w:pPr>
        <w:ind w:left="1060" w:hanging="420"/>
      </w:pPr>
      <w:rPr>
        <w:rFonts w:hint="default" w:ascii="Wingdings" w:hAnsi="Wingdings"/>
      </w:rPr>
    </w:lvl>
    <w:lvl w:ilvl="1" w:tentative="0">
      <w:start w:val="1"/>
      <w:numFmt w:val="bullet"/>
      <w:lvlText w:val=""/>
      <w:lvlJc w:val="left"/>
      <w:pPr>
        <w:ind w:left="1480" w:hanging="420"/>
      </w:pPr>
      <w:rPr>
        <w:rFonts w:hint="default" w:ascii="Wingdings" w:hAnsi="Wingdings"/>
      </w:rPr>
    </w:lvl>
    <w:lvl w:ilvl="2" w:tentative="0">
      <w:start w:val="1"/>
      <w:numFmt w:val="bullet"/>
      <w:lvlText w:val=""/>
      <w:lvlJc w:val="left"/>
      <w:pPr>
        <w:ind w:left="1900" w:hanging="420"/>
      </w:pPr>
      <w:rPr>
        <w:rFonts w:hint="default" w:ascii="Wingdings" w:hAnsi="Wingdings"/>
      </w:rPr>
    </w:lvl>
    <w:lvl w:ilvl="3" w:tentative="0">
      <w:start w:val="1"/>
      <w:numFmt w:val="bullet"/>
      <w:lvlText w:val=""/>
      <w:lvlJc w:val="left"/>
      <w:pPr>
        <w:ind w:left="2320" w:hanging="420"/>
      </w:pPr>
      <w:rPr>
        <w:rFonts w:hint="default" w:ascii="Wingdings" w:hAnsi="Wingdings"/>
      </w:rPr>
    </w:lvl>
    <w:lvl w:ilvl="4" w:tentative="0">
      <w:start w:val="1"/>
      <w:numFmt w:val="bullet"/>
      <w:lvlText w:val=""/>
      <w:lvlJc w:val="left"/>
      <w:pPr>
        <w:ind w:left="2740" w:hanging="420"/>
      </w:pPr>
      <w:rPr>
        <w:rFonts w:hint="default" w:ascii="Wingdings" w:hAnsi="Wingdings"/>
      </w:rPr>
    </w:lvl>
    <w:lvl w:ilvl="5" w:tentative="0">
      <w:start w:val="1"/>
      <w:numFmt w:val="bullet"/>
      <w:lvlText w:val=""/>
      <w:lvlJc w:val="left"/>
      <w:pPr>
        <w:ind w:left="3160" w:hanging="420"/>
      </w:pPr>
      <w:rPr>
        <w:rFonts w:hint="default" w:ascii="Wingdings" w:hAnsi="Wingdings"/>
      </w:rPr>
    </w:lvl>
    <w:lvl w:ilvl="6" w:tentative="0">
      <w:start w:val="1"/>
      <w:numFmt w:val="bullet"/>
      <w:lvlText w:val=""/>
      <w:lvlJc w:val="left"/>
      <w:pPr>
        <w:ind w:left="3580" w:hanging="420"/>
      </w:pPr>
      <w:rPr>
        <w:rFonts w:hint="default" w:ascii="Wingdings" w:hAnsi="Wingdings"/>
      </w:rPr>
    </w:lvl>
    <w:lvl w:ilvl="7" w:tentative="0">
      <w:start w:val="1"/>
      <w:numFmt w:val="bullet"/>
      <w:lvlText w:val=""/>
      <w:lvlJc w:val="left"/>
      <w:pPr>
        <w:ind w:left="4000" w:hanging="420"/>
      </w:pPr>
      <w:rPr>
        <w:rFonts w:hint="default" w:ascii="Wingdings" w:hAnsi="Wingdings"/>
      </w:rPr>
    </w:lvl>
    <w:lvl w:ilvl="8" w:tentative="0">
      <w:start w:val="1"/>
      <w:numFmt w:val="bullet"/>
      <w:lvlText w:val=""/>
      <w:lvlJc w:val="left"/>
      <w:pPr>
        <w:ind w:left="4420" w:hanging="420"/>
      </w:pPr>
      <w:rPr>
        <w:rFonts w:hint="default" w:ascii="Wingdings" w:hAnsi="Wingdings"/>
      </w:rPr>
    </w:lvl>
  </w:abstractNum>
  <w:abstractNum w:abstractNumId="2">
    <w:nsid w:val="34CF16A1"/>
    <w:multiLevelType w:val="multilevel"/>
    <w:tmpl w:val="34CF16A1"/>
    <w:lvl w:ilvl="0" w:tentative="0">
      <w:start w:val="1"/>
      <w:numFmt w:val="bullet"/>
      <w:lvlText w:val=""/>
      <w:lvlJc w:val="left"/>
      <w:pPr>
        <w:ind w:left="1060" w:hanging="420"/>
      </w:pPr>
      <w:rPr>
        <w:rFonts w:hint="default" w:ascii="Wingdings" w:hAnsi="Wingdings"/>
      </w:rPr>
    </w:lvl>
    <w:lvl w:ilvl="1" w:tentative="0">
      <w:start w:val="1"/>
      <w:numFmt w:val="bullet"/>
      <w:lvlText w:val=""/>
      <w:lvlJc w:val="left"/>
      <w:pPr>
        <w:ind w:left="1480" w:hanging="420"/>
      </w:pPr>
      <w:rPr>
        <w:rFonts w:hint="default" w:ascii="Wingdings" w:hAnsi="Wingdings"/>
      </w:rPr>
    </w:lvl>
    <w:lvl w:ilvl="2" w:tentative="0">
      <w:start w:val="1"/>
      <w:numFmt w:val="bullet"/>
      <w:lvlText w:val=""/>
      <w:lvlJc w:val="left"/>
      <w:pPr>
        <w:ind w:left="1900" w:hanging="420"/>
      </w:pPr>
      <w:rPr>
        <w:rFonts w:hint="default" w:ascii="Wingdings" w:hAnsi="Wingdings"/>
      </w:rPr>
    </w:lvl>
    <w:lvl w:ilvl="3" w:tentative="0">
      <w:start w:val="1"/>
      <w:numFmt w:val="bullet"/>
      <w:lvlText w:val=""/>
      <w:lvlJc w:val="left"/>
      <w:pPr>
        <w:ind w:left="2320" w:hanging="420"/>
      </w:pPr>
      <w:rPr>
        <w:rFonts w:hint="default" w:ascii="Wingdings" w:hAnsi="Wingdings"/>
      </w:rPr>
    </w:lvl>
    <w:lvl w:ilvl="4" w:tentative="0">
      <w:start w:val="1"/>
      <w:numFmt w:val="bullet"/>
      <w:lvlText w:val=""/>
      <w:lvlJc w:val="left"/>
      <w:pPr>
        <w:ind w:left="2740" w:hanging="420"/>
      </w:pPr>
      <w:rPr>
        <w:rFonts w:hint="default" w:ascii="Wingdings" w:hAnsi="Wingdings"/>
      </w:rPr>
    </w:lvl>
    <w:lvl w:ilvl="5" w:tentative="0">
      <w:start w:val="1"/>
      <w:numFmt w:val="bullet"/>
      <w:lvlText w:val=""/>
      <w:lvlJc w:val="left"/>
      <w:pPr>
        <w:ind w:left="3160" w:hanging="420"/>
      </w:pPr>
      <w:rPr>
        <w:rFonts w:hint="default" w:ascii="Wingdings" w:hAnsi="Wingdings"/>
      </w:rPr>
    </w:lvl>
    <w:lvl w:ilvl="6" w:tentative="0">
      <w:start w:val="1"/>
      <w:numFmt w:val="bullet"/>
      <w:lvlText w:val=""/>
      <w:lvlJc w:val="left"/>
      <w:pPr>
        <w:ind w:left="3580" w:hanging="420"/>
      </w:pPr>
      <w:rPr>
        <w:rFonts w:hint="default" w:ascii="Wingdings" w:hAnsi="Wingdings"/>
      </w:rPr>
    </w:lvl>
    <w:lvl w:ilvl="7" w:tentative="0">
      <w:start w:val="1"/>
      <w:numFmt w:val="bullet"/>
      <w:lvlText w:val=""/>
      <w:lvlJc w:val="left"/>
      <w:pPr>
        <w:ind w:left="4000" w:hanging="420"/>
      </w:pPr>
      <w:rPr>
        <w:rFonts w:hint="default" w:ascii="Wingdings" w:hAnsi="Wingdings"/>
      </w:rPr>
    </w:lvl>
    <w:lvl w:ilvl="8" w:tentative="0">
      <w:start w:val="1"/>
      <w:numFmt w:val="bullet"/>
      <w:lvlText w:val=""/>
      <w:lvlJc w:val="left"/>
      <w:pPr>
        <w:ind w:left="4420" w:hanging="420"/>
      </w:pPr>
      <w:rPr>
        <w:rFonts w:hint="default" w:ascii="Wingdings" w:hAnsi="Wingdings"/>
      </w:rPr>
    </w:lvl>
  </w:abstractNum>
  <w:abstractNum w:abstractNumId="3">
    <w:nsid w:val="371D1329"/>
    <w:multiLevelType w:val="multilevel"/>
    <w:tmpl w:val="371D1329"/>
    <w:lvl w:ilvl="0" w:tentative="0">
      <w:start w:val="1"/>
      <w:numFmt w:val="lowerRoman"/>
      <w:lvlText w:val="%1."/>
      <w:lvlJc w:val="right"/>
      <w:pPr>
        <w:ind w:left="1063" w:hanging="420"/>
      </w:pPr>
      <w:rPr>
        <w:rFonts w:cs="Times New Roman"/>
      </w:rPr>
    </w:lvl>
    <w:lvl w:ilvl="1" w:tentative="0">
      <w:start w:val="1"/>
      <w:numFmt w:val="lowerLetter"/>
      <w:lvlText w:val="%2)"/>
      <w:lvlJc w:val="left"/>
      <w:pPr>
        <w:ind w:left="1483" w:hanging="420"/>
      </w:pPr>
      <w:rPr>
        <w:rFonts w:cs="Times New Roman"/>
      </w:rPr>
    </w:lvl>
    <w:lvl w:ilvl="2" w:tentative="0">
      <w:start w:val="1"/>
      <w:numFmt w:val="lowerRoman"/>
      <w:lvlText w:val="%3."/>
      <w:lvlJc w:val="right"/>
      <w:pPr>
        <w:ind w:left="1903" w:hanging="420"/>
      </w:pPr>
      <w:rPr>
        <w:rFonts w:cs="Times New Roman"/>
      </w:rPr>
    </w:lvl>
    <w:lvl w:ilvl="3" w:tentative="0">
      <w:start w:val="1"/>
      <w:numFmt w:val="decimal"/>
      <w:lvlText w:val="%4."/>
      <w:lvlJc w:val="left"/>
      <w:pPr>
        <w:ind w:left="2323" w:hanging="420"/>
      </w:pPr>
      <w:rPr>
        <w:rFonts w:cs="Times New Roman"/>
      </w:rPr>
    </w:lvl>
    <w:lvl w:ilvl="4" w:tentative="0">
      <w:start w:val="1"/>
      <w:numFmt w:val="lowerLetter"/>
      <w:lvlText w:val="%5)"/>
      <w:lvlJc w:val="left"/>
      <w:pPr>
        <w:ind w:left="2743" w:hanging="420"/>
      </w:pPr>
      <w:rPr>
        <w:rFonts w:cs="Times New Roman"/>
      </w:rPr>
    </w:lvl>
    <w:lvl w:ilvl="5" w:tentative="0">
      <w:start w:val="1"/>
      <w:numFmt w:val="lowerRoman"/>
      <w:lvlText w:val="%6."/>
      <w:lvlJc w:val="right"/>
      <w:pPr>
        <w:ind w:left="3163" w:hanging="420"/>
      </w:pPr>
      <w:rPr>
        <w:rFonts w:cs="Times New Roman"/>
      </w:rPr>
    </w:lvl>
    <w:lvl w:ilvl="6" w:tentative="0">
      <w:start w:val="1"/>
      <w:numFmt w:val="decimal"/>
      <w:lvlText w:val="%7."/>
      <w:lvlJc w:val="left"/>
      <w:pPr>
        <w:ind w:left="3583" w:hanging="420"/>
      </w:pPr>
      <w:rPr>
        <w:rFonts w:cs="Times New Roman"/>
      </w:rPr>
    </w:lvl>
    <w:lvl w:ilvl="7" w:tentative="0">
      <w:start w:val="1"/>
      <w:numFmt w:val="lowerLetter"/>
      <w:lvlText w:val="%8)"/>
      <w:lvlJc w:val="left"/>
      <w:pPr>
        <w:ind w:left="4003" w:hanging="420"/>
      </w:pPr>
      <w:rPr>
        <w:rFonts w:cs="Times New Roman"/>
      </w:rPr>
    </w:lvl>
    <w:lvl w:ilvl="8" w:tentative="0">
      <w:start w:val="1"/>
      <w:numFmt w:val="lowerRoman"/>
      <w:lvlText w:val="%9."/>
      <w:lvlJc w:val="right"/>
      <w:pPr>
        <w:ind w:left="4423" w:hanging="420"/>
      </w:pPr>
      <w:rPr>
        <w:rFonts w:cs="Times New Roman"/>
      </w:rPr>
    </w:lvl>
  </w:abstractNum>
  <w:abstractNum w:abstractNumId="4">
    <w:nsid w:val="380314B3"/>
    <w:multiLevelType w:val="multilevel"/>
    <w:tmpl w:val="380314B3"/>
    <w:lvl w:ilvl="0" w:tentative="0">
      <w:start w:val="1"/>
      <w:numFmt w:val="bullet"/>
      <w:lvlText w:val=""/>
      <w:lvlJc w:val="left"/>
      <w:pPr>
        <w:ind w:left="1060" w:hanging="420"/>
      </w:pPr>
      <w:rPr>
        <w:rFonts w:hint="default" w:ascii="Wingdings" w:hAnsi="Wingdings"/>
      </w:rPr>
    </w:lvl>
    <w:lvl w:ilvl="1" w:tentative="0">
      <w:start w:val="1"/>
      <w:numFmt w:val="bullet"/>
      <w:lvlText w:val=""/>
      <w:lvlJc w:val="left"/>
      <w:pPr>
        <w:ind w:left="1480" w:hanging="420"/>
      </w:pPr>
      <w:rPr>
        <w:rFonts w:hint="default" w:ascii="Wingdings" w:hAnsi="Wingdings"/>
      </w:rPr>
    </w:lvl>
    <w:lvl w:ilvl="2" w:tentative="0">
      <w:start w:val="1"/>
      <w:numFmt w:val="bullet"/>
      <w:lvlText w:val=""/>
      <w:lvlJc w:val="left"/>
      <w:pPr>
        <w:ind w:left="1900" w:hanging="420"/>
      </w:pPr>
      <w:rPr>
        <w:rFonts w:hint="default" w:ascii="Wingdings" w:hAnsi="Wingdings"/>
      </w:rPr>
    </w:lvl>
    <w:lvl w:ilvl="3" w:tentative="0">
      <w:start w:val="1"/>
      <w:numFmt w:val="bullet"/>
      <w:lvlText w:val=""/>
      <w:lvlJc w:val="left"/>
      <w:pPr>
        <w:ind w:left="2320" w:hanging="420"/>
      </w:pPr>
      <w:rPr>
        <w:rFonts w:hint="default" w:ascii="Wingdings" w:hAnsi="Wingdings"/>
      </w:rPr>
    </w:lvl>
    <w:lvl w:ilvl="4" w:tentative="0">
      <w:start w:val="1"/>
      <w:numFmt w:val="bullet"/>
      <w:lvlText w:val=""/>
      <w:lvlJc w:val="left"/>
      <w:pPr>
        <w:ind w:left="2740" w:hanging="420"/>
      </w:pPr>
      <w:rPr>
        <w:rFonts w:hint="default" w:ascii="Wingdings" w:hAnsi="Wingdings"/>
      </w:rPr>
    </w:lvl>
    <w:lvl w:ilvl="5" w:tentative="0">
      <w:start w:val="1"/>
      <w:numFmt w:val="bullet"/>
      <w:lvlText w:val=""/>
      <w:lvlJc w:val="left"/>
      <w:pPr>
        <w:ind w:left="3160" w:hanging="420"/>
      </w:pPr>
      <w:rPr>
        <w:rFonts w:hint="default" w:ascii="Wingdings" w:hAnsi="Wingdings"/>
      </w:rPr>
    </w:lvl>
    <w:lvl w:ilvl="6" w:tentative="0">
      <w:start w:val="1"/>
      <w:numFmt w:val="bullet"/>
      <w:lvlText w:val=""/>
      <w:lvlJc w:val="left"/>
      <w:pPr>
        <w:ind w:left="3580" w:hanging="420"/>
      </w:pPr>
      <w:rPr>
        <w:rFonts w:hint="default" w:ascii="Wingdings" w:hAnsi="Wingdings"/>
      </w:rPr>
    </w:lvl>
    <w:lvl w:ilvl="7" w:tentative="0">
      <w:start w:val="1"/>
      <w:numFmt w:val="bullet"/>
      <w:lvlText w:val=""/>
      <w:lvlJc w:val="left"/>
      <w:pPr>
        <w:ind w:left="4000" w:hanging="420"/>
      </w:pPr>
      <w:rPr>
        <w:rFonts w:hint="default" w:ascii="Wingdings" w:hAnsi="Wingdings"/>
      </w:rPr>
    </w:lvl>
    <w:lvl w:ilvl="8" w:tentative="0">
      <w:start w:val="1"/>
      <w:numFmt w:val="bullet"/>
      <w:lvlText w:val=""/>
      <w:lvlJc w:val="left"/>
      <w:pPr>
        <w:ind w:left="4420" w:hanging="420"/>
      </w:pPr>
      <w:rPr>
        <w:rFonts w:hint="default" w:ascii="Wingdings" w:hAnsi="Wingdings"/>
      </w:rPr>
    </w:lvl>
  </w:abstractNum>
  <w:abstractNum w:abstractNumId="5">
    <w:nsid w:val="38F6707B"/>
    <w:multiLevelType w:val="multilevel"/>
    <w:tmpl w:val="38F6707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405D72D4"/>
    <w:multiLevelType w:val="multilevel"/>
    <w:tmpl w:val="405D72D4"/>
    <w:lvl w:ilvl="0" w:tentative="0">
      <w:start w:val="1"/>
      <w:numFmt w:val="bullet"/>
      <w:lvlText w:val=""/>
      <w:lvlJc w:val="left"/>
      <w:pPr>
        <w:ind w:left="1060" w:hanging="420"/>
      </w:pPr>
      <w:rPr>
        <w:rFonts w:hint="default" w:ascii="Wingdings" w:hAnsi="Wingdings"/>
      </w:rPr>
    </w:lvl>
    <w:lvl w:ilvl="1" w:tentative="0">
      <w:start w:val="1"/>
      <w:numFmt w:val="bullet"/>
      <w:lvlText w:val=""/>
      <w:lvlJc w:val="left"/>
      <w:pPr>
        <w:ind w:left="1480" w:hanging="420"/>
      </w:pPr>
      <w:rPr>
        <w:rFonts w:hint="default" w:ascii="Wingdings" w:hAnsi="Wingdings"/>
      </w:rPr>
    </w:lvl>
    <w:lvl w:ilvl="2" w:tentative="0">
      <w:start w:val="1"/>
      <w:numFmt w:val="bullet"/>
      <w:lvlText w:val=""/>
      <w:lvlJc w:val="left"/>
      <w:pPr>
        <w:ind w:left="1900" w:hanging="420"/>
      </w:pPr>
      <w:rPr>
        <w:rFonts w:hint="default" w:ascii="Wingdings" w:hAnsi="Wingdings"/>
      </w:rPr>
    </w:lvl>
    <w:lvl w:ilvl="3" w:tentative="0">
      <w:start w:val="1"/>
      <w:numFmt w:val="bullet"/>
      <w:lvlText w:val=""/>
      <w:lvlJc w:val="left"/>
      <w:pPr>
        <w:ind w:left="2320" w:hanging="420"/>
      </w:pPr>
      <w:rPr>
        <w:rFonts w:hint="default" w:ascii="Wingdings" w:hAnsi="Wingdings"/>
      </w:rPr>
    </w:lvl>
    <w:lvl w:ilvl="4" w:tentative="0">
      <w:start w:val="1"/>
      <w:numFmt w:val="bullet"/>
      <w:lvlText w:val=""/>
      <w:lvlJc w:val="left"/>
      <w:pPr>
        <w:ind w:left="2740" w:hanging="420"/>
      </w:pPr>
      <w:rPr>
        <w:rFonts w:hint="default" w:ascii="Wingdings" w:hAnsi="Wingdings"/>
      </w:rPr>
    </w:lvl>
    <w:lvl w:ilvl="5" w:tentative="0">
      <w:start w:val="1"/>
      <w:numFmt w:val="bullet"/>
      <w:lvlText w:val=""/>
      <w:lvlJc w:val="left"/>
      <w:pPr>
        <w:ind w:left="3160" w:hanging="420"/>
      </w:pPr>
      <w:rPr>
        <w:rFonts w:hint="default" w:ascii="Wingdings" w:hAnsi="Wingdings"/>
      </w:rPr>
    </w:lvl>
    <w:lvl w:ilvl="6" w:tentative="0">
      <w:start w:val="1"/>
      <w:numFmt w:val="bullet"/>
      <w:lvlText w:val=""/>
      <w:lvlJc w:val="left"/>
      <w:pPr>
        <w:ind w:left="3580" w:hanging="420"/>
      </w:pPr>
      <w:rPr>
        <w:rFonts w:hint="default" w:ascii="Wingdings" w:hAnsi="Wingdings"/>
      </w:rPr>
    </w:lvl>
    <w:lvl w:ilvl="7" w:tentative="0">
      <w:start w:val="1"/>
      <w:numFmt w:val="bullet"/>
      <w:lvlText w:val=""/>
      <w:lvlJc w:val="left"/>
      <w:pPr>
        <w:ind w:left="4000" w:hanging="420"/>
      </w:pPr>
      <w:rPr>
        <w:rFonts w:hint="default" w:ascii="Wingdings" w:hAnsi="Wingdings"/>
      </w:rPr>
    </w:lvl>
    <w:lvl w:ilvl="8" w:tentative="0">
      <w:start w:val="1"/>
      <w:numFmt w:val="bullet"/>
      <w:lvlText w:val=""/>
      <w:lvlJc w:val="left"/>
      <w:pPr>
        <w:ind w:left="4420" w:hanging="420"/>
      </w:pPr>
      <w:rPr>
        <w:rFonts w:hint="default" w:ascii="Wingdings" w:hAnsi="Wingdings"/>
      </w:rPr>
    </w:lvl>
  </w:abstractNum>
  <w:abstractNum w:abstractNumId="7">
    <w:nsid w:val="53982EC5"/>
    <w:multiLevelType w:val="multilevel"/>
    <w:tmpl w:val="53982EC5"/>
    <w:lvl w:ilvl="0" w:tentative="0">
      <w:start w:val="1"/>
      <w:numFmt w:val="lowerRoman"/>
      <w:lvlText w:val="%1."/>
      <w:lvlJc w:val="right"/>
      <w:pPr>
        <w:ind w:left="1063" w:hanging="420"/>
      </w:pPr>
      <w:rPr>
        <w:rFonts w:cs="Times New Roman"/>
      </w:rPr>
    </w:lvl>
    <w:lvl w:ilvl="1" w:tentative="0">
      <w:start w:val="1"/>
      <w:numFmt w:val="lowerLetter"/>
      <w:lvlText w:val="%2)"/>
      <w:lvlJc w:val="left"/>
      <w:pPr>
        <w:ind w:left="1483" w:hanging="420"/>
      </w:pPr>
      <w:rPr>
        <w:rFonts w:cs="Times New Roman"/>
      </w:rPr>
    </w:lvl>
    <w:lvl w:ilvl="2" w:tentative="0">
      <w:start w:val="1"/>
      <w:numFmt w:val="lowerRoman"/>
      <w:lvlText w:val="%3."/>
      <w:lvlJc w:val="right"/>
      <w:pPr>
        <w:ind w:left="1903" w:hanging="420"/>
      </w:pPr>
      <w:rPr>
        <w:rFonts w:cs="Times New Roman"/>
      </w:rPr>
    </w:lvl>
    <w:lvl w:ilvl="3" w:tentative="0">
      <w:start w:val="1"/>
      <w:numFmt w:val="decimal"/>
      <w:lvlText w:val="%4."/>
      <w:lvlJc w:val="left"/>
      <w:pPr>
        <w:ind w:left="2323" w:hanging="420"/>
      </w:pPr>
      <w:rPr>
        <w:rFonts w:cs="Times New Roman"/>
      </w:rPr>
    </w:lvl>
    <w:lvl w:ilvl="4" w:tentative="0">
      <w:start w:val="1"/>
      <w:numFmt w:val="lowerLetter"/>
      <w:lvlText w:val="%5)"/>
      <w:lvlJc w:val="left"/>
      <w:pPr>
        <w:ind w:left="2743" w:hanging="420"/>
      </w:pPr>
      <w:rPr>
        <w:rFonts w:cs="Times New Roman"/>
      </w:rPr>
    </w:lvl>
    <w:lvl w:ilvl="5" w:tentative="0">
      <w:start w:val="1"/>
      <w:numFmt w:val="lowerRoman"/>
      <w:lvlText w:val="%6."/>
      <w:lvlJc w:val="right"/>
      <w:pPr>
        <w:ind w:left="3163" w:hanging="420"/>
      </w:pPr>
      <w:rPr>
        <w:rFonts w:cs="Times New Roman"/>
      </w:rPr>
    </w:lvl>
    <w:lvl w:ilvl="6" w:tentative="0">
      <w:start w:val="1"/>
      <w:numFmt w:val="decimal"/>
      <w:lvlText w:val="%7."/>
      <w:lvlJc w:val="left"/>
      <w:pPr>
        <w:ind w:left="3583" w:hanging="420"/>
      </w:pPr>
      <w:rPr>
        <w:rFonts w:cs="Times New Roman"/>
      </w:rPr>
    </w:lvl>
    <w:lvl w:ilvl="7" w:tentative="0">
      <w:start w:val="1"/>
      <w:numFmt w:val="lowerLetter"/>
      <w:lvlText w:val="%8)"/>
      <w:lvlJc w:val="left"/>
      <w:pPr>
        <w:ind w:left="4003" w:hanging="420"/>
      </w:pPr>
      <w:rPr>
        <w:rFonts w:cs="Times New Roman"/>
      </w:rPr>
    </w:lvl>
    <w:lvl w:ilvl="8" w:tentative="0">
      <w:start w:val="1"/>
      <w:numFmt w:val="lowerRoman"/>
      <w:lvlText w:val="%9."/>
      <w:lvlJc w:val="right"/>
      <w:pPr>
        <w:ind w:left="4423" w:hanging="420"/>
      </w:pPr>
      <w:rPr>
        <w:rFonts w:cs="Times New Roman"/>
      </w:rPr>
    </w:lvl>
  </w:abstractNum>
  <w:abstractNum w:abstractNumId="8">
    <w:nsid w:val="6EA0458E"/>
    <w:multiLevelType w:val="multilevel"/>
    <w:tmpl w:val="6EA0458E"/>
    <w:lvl w:ilvl="0" w:tentative="0">
      <w:start w:val="1"/>
      <w:numFmt w:val="chineseCountingThousand"/>
      <w:pStyle w:val="4"/>
      <w:lvlText w:val="%1、"/>
      <w:lvlJc w:val="left"/>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1" w:tentative="0">
      <w:start w:val="1"/>
      <w:numFmt w:val="chineseCountingThousand"/>
      <w:pStyle w:val="5"/>
      <w:lvlText w:val="（%2） "/>
      <w:lvlJc w:val="left"/>
      <w:rPr>
        <w:rFonts w:hint="eastAsia" w:cs="Times New Roman"/>
      </w:rPr>
    </w:lvl>
    <w:lvl w:ilvl="2" w:tentative="0">
      <w:start w:val="1"/>
      <w:numFmt w:val="decimal"/>
      <w:pStyle w:val="6"/>
      <w:isLgl/>
      <w:lvlText w:val="%3."/>
      <w:lvlJc w:val="left"/>
      <w:rPr>
        <w:rFonts w:ascii="Times New Roman" w:hAnsi="Times New Roman" w:eastAsia="仿宋" w:cs="Times New Roman"/>
      </w:rPr>
    </w:lvl>
    <w:lvl w:ilvl="3" w:tentative="0">
      <w:start w:val="1"/>
      <w:numFmt w:val="decimal"/>
      <w:pStyle w:val="7"/>
      <w:lvlText w:val="（%4）"/>
      <w:lvlJc w:val="left"/>
      <w:rPr>
        <w:rFonts w:hint="eastAsia" w:cs="Times New Roman"/>
      </w:rPr>
    </w:lvl>
    <w:lvl w:ilvl="4" w:tentative="0">
      <w:start w:val="1"/>
      <w:numFmt w:val="decimal"/>
      <w:lvlRestart w:val="0"/>
      <w:isLgl/>
      <w:lvlText w:val="表%1-%5"/>
      <w:lvlJc w:val="left"/>
      <w:pPr>
        <w:ind w:left="8925" w:hanging="420"/>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5" w:tentative="0">
      <w:start w:val="1"/>
      <w:numFmt w:val="decimal"/>
      <w:lvlRestart w:val="0"/>
      <w:pStyle w:val="21"/>
      <w:isLgl/>
      <w:lvlText w:val="图%1-%6 "/>
      <w:lvlJc w:val="right"/>
      <w:pPr>
        <w:ind w:left="3255" w:hanging="4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color="000000"/>
        <w:vertAlign w:val="baseline"/>
      </w:rPr>
    </w:lvl>
    <w:lvl w:ilvl="6" w:tentative="0">
      <w:start w:val="1"/>
      <w:numFmt w:val="none"/>
      <w:lvlRestart w:val="0"/>
      <w:isLgl/>
      <w:lvlText w:val="表%1-%6 "/>
      <w:lvlJc w:val="left"/>
      <w:rPr>
        <w:rFonts w:hint="eastAsia" w:cs="Times New Roman"/>
      </w:rPr>
    </w:lvl>
    <w:lvl w:ilvl="7" w:tentative="0">
      <w:start w:val="1"/>
      <w:numFmt w:val="lowerLetter"/>
      <w:lvlText w:val="%8)"/>
      <w:lvlJc w:val="left"/>
      <w:rPr>
        <w:rFonts w:hint="eastAsia" w:cs="Times New Roman"/>
      </w:rPr>
    </w:lvl>
    <w:lvl w:ilvl="8" w:tentative="0">
      <w:start w:val="1"/>
      <w:numFmt w:val="lowerRoman"/>
      <w:lvlText w:val="%9."/>
      <w:lvlJc w:val="right"/>
      <w:pPr>
        <w:ind w:left="3780" w:hanging="420"/>
      </w:pPr>
      <w:rPr>
        <w:rFonts w:hint="eastAsia" w:cs="Times New Roman"/>
      </w:rPr>
    </w:lvl>
  </w:abstractNum>
  <w:abstractNum w:abstractNumId="9">
    <w:nsid w:val="6F2B2369"/>
    <w:multiLevelType w:val="multilevel"/>
    <w:tmpl w:val="6F2B2369"/>
    <w:lvl w:ilvl="0" w:tentative="0">
      <w:start w:val="1"/>
      <w:numFmt w:val="lowerRoman"/>
      <w:lvlText w:val="%1."/>
      <w:lvlJc w:val="right"/>
      <w:pPr>
        <w:ind w:left="1063" w:hanging="420"/>
      </w:pPr>
      <w:rPr>
        <w:rFonts w:cs="Times New Roman"/>
      </w:rPr>
    </w:lvl>
    <w:lvl w:ilvl="1" w:tentative="0">
      <w:start w:val="1"/>
      <w:numFmt w:val="lowerLetter"/>
      <w:lvlText w:val="%2)"/>
      <w:lvlJc w:val="left"/>
      <w:pPr>
        <w:ind w:left="1483" w:hanging="420"/>
      </w:pPr>
      <w:rPr>
        <w:rFonts w:cs="Times New Roman"/>
      </w:rPr>
    </w:lvl>
    <w:lvl w:ilvl="2" w:tentative="0">
      <w:start w:val="1"/>
      <w:numFmt w:val="lowerRoman"/>
      <w:lvlText w:val="%3."/>
      <w:lvlJc w:val="right"/>
      <w:pPr>
        <w:ind w:left="1903" w:hanging="420"/>
      </w:pPr>
      <w:rPr>
        <w:rFonts w:cs="Times New Roman"/>
      </w:rPr>
    </w:lvl>
    <w:lvl w:ilvl="3" w:tentative="0">
      <w:start w:val="1"/>
      <w:numFmt w:val="decimal"/>
      <w:lvlText w:val="%4."/>
      <w:lvlJc w:val="left"/>
      <w:pPr>
        <w:ind w:left="2323" w:hanging="420"/>
      </w:pPr>
      <w:rPr>
        <w:rFonts w:cs="Times New Roman"/>
      </w:rPr>
    </w:lvl>
    <w:lvl w:ilvl="4" w:tentative="0">
      <w:start w:val="1"/>
      <w:numFmt w:val="lowerLetter"/>
      <w:lvlText w:val="%5)"/>
      <w:lvlJc w:val="left"/>
      <w:pPr>
        <w:ind w:left="2743" w:hanging="420"/>
      </w:pPr>
      <w:rPr>
        <w:rFonts w:cs="Times New Roman"/>
      </w:rPr>
    </w:lvl>
    <w:lvl w:ilvl="5" w:tentative="0">
      <w:start w:val="1"/>
      <w:numFmt w:val="lowerRoman"/>
      <w:lvlText w:val="%6."/>
      <w:lvlJc w:val="right"/>
      <w:pPr>
        <w:ind w:left="3163" w:hanging="420"/>
      </w:pPr>
      <w:rPr>
        <w:rFonts w:cs="Times New Roman"/>
      </w:rPr>
    </w:lvl>
    <w:lvl w:ilvl="6" w:tentative="0">
      <w:start w:val="1"/>
      <w:numFmt w:val="decimal"/>
      <w:lvlText w:val="%7."/>
      <w:lvlJc w:val="left"/>
      <w:pPr>
        <w:ind w:left="3583" w:hanging="420"/>
      </w:pPr>
      <w:rPr>
        <w:rFonts w:cs="Times New Roman"/>
      </w:rPr>
    </w:lvl>
    <w:lvl w:ilvl="7" w:tentative="0">
      <w:start w:val="1"/>
      <w:numFmt w:val="lowerLetter"/>
      <w:lvlText w:val="%8)"/>
      <w:lvlJc w:val="left"/>
      <w:pPr>
        <w:ind w:left="4003" w:hanging="420"/>
      </w:pPr>
      <w:rPr>
        <w:rFonts w:cs="Times New Roman"/>
      </w:rPr>
    </w:lvl>
    <w:lvl w:ilvl="8" w:tentative="0">
      <w:start w:val="1"/>
      <w:numFmt w:val="lowerRoman"/>
      <w:lvlText w:val="%9."/>
      <w:lvlJc w:val="right"/>
      <w:pPr>
        <w:ind w:left="4423" w:hanging="420"/>
      </w:pPr>
      <w:rPr>
        <w:rFonts w:cs="Times New Roman"/>
      </w:rPr>
    </w:lvl>
  </w:abstractNum>
  <w:abstractNum w:abstractNumId="10">
    <w:nsid w:val="71464E4B"/>
    <w:multiLevelType w:val="multilevel"/>
    <w:tmpl w:val="71464E4B"/>
    <w:lvl w:ilvl="0" w:tentative="0">
      <w:start w:val="1"/>
      <w:numFmt w:val="bullet"/>
      <w:lvlText w:val=""/>
      <w:lvlJc w:val="left"/>
      <w:pPr>
        <w:ind w:left="1060" w:hanging="420"/>
      </w:pPr>
      <w:rPr>
        <w:rFonts w:hint="default" w:ascii="Wingdings" w:hAnsi="Wingdings"/>
      </w:rPr>
    </w:lvl>
    <w:lvl w:ilvl="1" w:tentative="0">
      <w:start w:val="1"/>
      <w:numFmt w:val="bullet"/>
      <w:lvlText w:val=""/>
      <w:lvlJc w:val="left"/>
      <w:pPr>
        <w:ind w:left="1480" w:hanging="420"/>
      </w:pPr>
      <w:rPr>
        <w:rFonts w:hint="default" w:ascii="Wingdings" w:hAnsi="Wingdings"/>
      </w:rPr>
    </w:lvl>
    <w:lvl w:ilvl="2" w:tentative="0">
      <w:start w:val="1"/>
      <w:numFmt w:val="bullet"/>
      <w:lvlText w:val=""/>
      <w:lvlJc w:val="left"/>
      <w:pPr>
        <w:ind w:left="1900" w:hanging="420"/>
      </w:pPr>
      <w:rPr>
        <w:rFonts w:hint="default" w:ascii="Wingdings" w:hAnsi="Wingdings"/>
      </w:rPr>
    </w:lvl>
    <w:lvl w:ilvl="3" w:tentative="0">
      <w:start w:val="1"/>
      <w:numFmt w:val="bullet"/>
      <w:lvlText w:val=""/>
      <w:lvlJc w:val="left"/>
      <w:pPr>
        <w:ind w:left="2320" w:hanging="420"/>
      </w:pPr>
      <w:rPr>
        <w:rFonts w:hint="default" w:ascii="Wingdings" w:hAnsi="Wingdings"/>
      </w:rPr>
    </w:lvl>
    <w:lvl w:ilvl="4" w:tentative="0">
      <w:start w:val="1"/>
      <w:numFmt w:val="bullet"/>
      <w:lvlText w:val=""/>
      <w:lvlJc w:val="left"/>
      <w:pPr>
        <w:ind w:left="2740" w:hanging="420"/>
      </w:pPr>
      <w:rPr>
        <w:rFonts w:hint="default" w:ascii="Wingdings" w:hAnsi="Wingdings"/>
      </w:rPr>
    </w:lvl>
    <w:lvl w:ilvl="5" w:tentative="0">
      <w:start w:val="1"/>
      <w:numFmt w:val="bullet"/>
      <w:lvlText w:val=""/>
      <w:lvlJc w:val="left"/>
      <w:pPr>
        <w:ind w:left="3160" w:hanging="420"/>
      </w:pPr>
      <w:rPr>
        <w:rFonts w:hint="default" w:ascii="Wingdings" w:hAnsi="Wingdings"/>
      </w:rPr>
    </w:lvl>
    <w:lvl w:ilvl="6" w:tentative="0">
      <w:start w:val="1"/>
      <w:numFmt w:val="bullet"/>
      <w:lvlText w:val=""/>
      <w:lvlJc w:val="left"/>
      <w:pPr>
        <w:ind w:left="3580" w:hanging="420"/>
      </w:pPr>
      <w:rPr>
        <w:rFonts w:hint="default" w:ascii="Wingdings" w:hAnsi="Wingdings"/>
      </w:rPr>
    </w:lvl>
    <w:lvl w:ilvl="7" w:tentative="0">
      <w:start w:val="1"/>
      <w:numFmt w:val="bullet"/>
      <w:lvlText w:val=""/>
      <w:lvlJc w:val="left"/>
      <w:pPr>
        <w:ind w:left="4000" w:hanging="420"/>
      </w:pPr>
      <w:rPr>
        <w:rFonts w:hint="default" w:ascii="Wingdings" w:hAnsi="Wingdings"/>
      </w:rPr>
    </w:lvl>
    <w:lvl w:ilvl="8" w:tentative="0">
      <w:start w:val="1"/>
      <w:numFmt w:val="bullet"/>
      <w:lvlText w:val=""/>
      <w:lvlJc w:val="left"/>
      <w:pPr>
        <w:ind w:left="4420" w:hanging="420"/>
      </w:pPr>
      <w:rPr>
        <w:rFonts w:hint="default" w:ascii="Wingdings" w:hAnsi="Wingdings"/>
      </w:rPr>
    </w:lvl>
  </w:abstractNum>
  <w:num w:numId="1">
    <w:abstractNumId w:val="8"/>
  </w:num>
  <w:num w:numId="2">
    <w:abstractNumId w:val="5"/>
  </w:num>
  <w:num w:numId="3">
    <w:abstractNumId w:val="0"/>
  </w:num>
  <w:num w:numId="4">
    <w:abstractNumId w:val="10"/>
  </w:num>
  <w:num w:numId="5">
    <w:abstractNumId w:val="3"/>
  </w:num>
  <w:num w:numId="6">
    <w:abstractNumId w:val="7"/>
  </w:num>
  <w:num w:numId="7">
    <w:abstractNumId w:val="1"/>
  </w:num>
  <w:num w:numId="8">
    <w:abstractNumId w:val="9"/>
  </w:num>
  <w:num w:numId="9">
    <w:abstractNumId w:val="2"/>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10"/>
  <w:bordersDoNotSurroundHeader w:val="false"/>
  <w:bordersDoNotSurroundFooter w:val="false"/>
  <w:documentProtection w:enforcement="0"/>
  <w:defaultTabStop w:val="419"/>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ZhYTNiNjhlNzI2NmIwYjk2ZDM3NDE4ZmI1ZjBlNTQifQ=="/>
  </w:docVars>
  <w:rsids>
    <w:rsidRoot w:val="00172A27"/>
    <w:rsid w:val="038247D1"/>
    <w:rsid w:val="0EB5050E"/>
    <w:rsid w:val="12870963"/>
    <w:rsid w:val="177597A6"/>
    <w:rsid w:val="1BE20401"/>
    <w:rsid w:val="1BFD51C1"/>
    <w:rsid w:val="26EF78A9"/>
    <w:rsid w:val="2ACA2711"/>
    <w:rsid w:val="3C9A7D03"/>
    <w:rsid w:val="4B3B4F57"/>
    <w:rsid w:val="4E437F1C"/>
    <w:rsid w:val="4F486BD6"/>
    <w:rsid w:val="6DDF0C76"/>
    <w:rsid w:val="6DF640CD"/>
    <w:rsid w:val="6EE35398"/>
    <w:rsid w:val="72EB29BA"/>
    <w:rsid w:val="73036113"/>
    <w:rsid w:val="76CDFB08"/>
    <w:rsid w:val="7DC70768"/>
    <w:rsid w:val="7F846648"/>
    <w:rsid w:val="7F9A1B6C"/>
    <w:rsid w:val="96FEA298"/>
    <w:rsid w:val="E971CB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qFormat="1" w:unhideWhenUsed="0" w:uiPriority="9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ind w:firstLine="200" w:firstLineChars="200"/>
      <w:jc w:val="both"/>
    </w:pPr>
    <w:rPr>
      <w:rFonts w:ascii="Times New Roman" w:hAnsi="Times New Roman" w:eastAsia="仿宋_GB2312" w:cs="Times New Roman"/>
      <w:kern w:val="2"/>
      <w:sz w:val="28"/>
      <w:szCs w:val="22"/>
      <w:lang w:val="en-US" w:eastAsia="zh-CN" w:bidi="ar-SA"/>
    </w:rPr>
  </w:style>
  <w:style w:type="paragraph" w:styleId="4">
    <w:name w:val="heading 1"/>
    <w:basedOn w:val="1"/>
    <w:next w:val="1"/>
    <w:qFormat/>
    <w:uiPriority w:val="99"/>
    <w:pPr>
      <w:keepNext/>
      <w:keepLines/>
      <w:numPr>
        <w:ilvl w:val="0"/>
        <w:numId w:val="1"/>
      </w:numPr>
      <w:spacing w:beforeLines="50" w:afterLines="30"/>
      <w:ind w:firstLine="0" w:firstLineChars="0"/>
      <w:jc w:val="left"/>
      <w:outlineLvl w:val="0"/>
    </w:pPr>
    <w:rPr>
      <w:rFonts w:eastAsia="黑体"/>
      <w:b/>
      <w:bCs/>
      <w:kern w:val="44"/>
      <w:szCs w:val="44"/>
    </w:rPr>
  </w:style>
  <w:style w:type="paragraph" w:styleId="5">
    <w:name w:val="heading 2"/>
    <w:basedOn w:val="1"/>
    <w:next w:val="1"/>
    <w:qFormat/>
    <w:uiPriority w:val="99"/>
    <w:pPr>
      <w:keepNext/>
      <w:keepLines/>
      <w:numPr>
        <w:ilvl w:val="1"/>
        <w:numId w:val="1"/>
      </w:numPr>
      <w:spacing w:beforeLines="50" w:afterLines="50"/>
      <w:ind w:firstLine="0" w:firstLineChars="0"/>
      <w:outlineLvl w:val="1"/>
    </w:pPr>
    <w:rPr>
      <w:rFonts w:eastAsia="楷体"/>
      <w:b/>
      <w:bCs/>
      <w:szCs w:val="32"/>
    </w:rPr>
  </w:style>
  <w:style w:type="paragraph" w:styleId="6">
    <w:name w:val="heading 3"/>
    <w:basedOn w:val="1"/>
    <w:next w:val="1"/>
    <w:qFormat/>
    <w:uiPriority w:val="99"/>
    <w:pPr>
      <w:keepNext/>
      <w:keepLines/>
      <w:numPr>
        <w:ilvl w:val="2"/>
        <w:numId w:val="1"/>
      </w:numPr>
      <w:spacing w:beforeLines="50" w:afterLines="50"/>
      <w:ind w:firstLine="0" w:firstLineChars="0"/>
      <w:outlineLvl w:val="2"/>
    </w:pPr>
    <w:rPr>
      <w:rFonts w:ascii="黑体" w:hAnsi="黑体" w:eastAsia="仿宋"/>
      <w:b/>
      <w:bCs/>
      <w:szCs w:val="32"/>
    </w:rPr>
  </w:style>
  <w:style w:type="paragraph" w:styleId="7">
    <w:name w:val="heading 4"/>
    <w:basedOn w:val="1"/>
    <w:next w:val="1"/>
    <w:qFormat/>
    <w:uiPriority w:val="99"/>
    <w:pPr>
      <w:keepNext/>
      <w:keepLines/>
      <w:numPr>
        <w:ilvl w:val="3"/>
        <w:numId w:val="1"/>
      </w:numPr>
      <w:spacing w:before="100" w:after="100"/>
      <w:ind w:firstLine="0" w:firstLineChars="0"/>
      <w:outlineLvl w:val="3"/>
    </w:pPr>
    <w:rPr>
      <w:rFonts w:eastAsia="仿宋"/>
      <w:b/>
      <w:bCs/>
      <w:szCs w:val="28"/>
    </w:rPr>
  </w:style>
  <w:style w:type="paragraph" w:styleId="8">
    <w:name w:val="heading 5"/>
    <w:basedOn w:val="1"/>
    <w:next w:val="1"/>
    <w:qFormat/>
    <w:uiPriority w:val="99"/>
    <w:pPr>
      <w:keepNext/>
      <w:keepLines/>
      <w:spacing w:before="280" w:after="290" w:line="376" w:lineRule="auto"/>
      <w:outlineLvl w:val="4"/>
    </w:pPr>
    <w:rPr>
      <w:b/>
      <w:bCs/>
      <w:szCs w:val="28"/>
    </w:rPr>
  </w:style>
  <w:style w:type="character" w:default="1" w:styleId="17">
    <w:name w:val="Default Paragraph Font"/>
    <w:semiHidden/>
    <w:qFormat/>
    <w:uiPriority w:val="0"/>
  </w:style>
  <w:style w:type="table" w:default="1" w:styleId="16">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Body Text First Indent"/>
    <w:basedOn w:val="3"/>
    <w:semiHidden/>
    <w:qFormat/>
    <w:uiPriority w:val="99"/>
    <w:pPr>
      <w:spacing w:line="600" w:lineRule="exact"/>
      <w:ind w:firstLine="880"/>
    </w:pPr>
  </w:style>
  <w:style w:type="paragraph" w:styleId="3">
    <w:name w:val="Body Text"/>
    <w:basedOn w:val="1"/>
    <w:semiHidden/>
    <w:qFormat/>
    <w:uiPriority w:val="99"/>
  </w:style>
  <w:style w:type="paragraph" w:styleId="9">
    <w:name w:val="Body Text Indent"/>
    <w:basedOn w:val="1"/>
    <w:qFormat/>
    <w:uiPriority w:val="99"/>
    <w:pPr>
      <w:spacing w:after="120"/>
      <w:ind w:left="420" w:leftChars="200"/>
    </w:pPr>
  </w:style>
  <w:style w:type="paragraph" w:styleId="10">
    <w:name w:val="footer"/>
    <w:basedOn w:val="1"/>
    <w:link w:val="24"/>
    <w:qFormat/>
    <w:uiPriority w:val="99"/>
    <w:pPr>
      <w:tabs>
        <w:tab w:val="center" w:pos="4153"/>
        <w:tab w:val="right" w:pos="8306"/>
      </w:tabs>
      <w:jc w:val="left"/>
    </w:pPr>
    <w:rPr>
      <w:rFonts w:eastAsia="宋体"/>
      <w:kern w:val="0"/>
      <w:sz w:val="18"/>
      <w:szCs w:val="18"/>
    </w:rPr>
  </w:style>
  <w:style w:type="paragraph" w:styleId="11">
    <w:name w:val="header"/>
    <w:basedOn w:val="1"/>
    <w:qFormat/>
    <w:uiPriority w:val="99"/>
    <w:pPr>
      <w:pBdr>
        <w:bottom w:val="single" w:color="auto" w:sz="6" w:space="1"/>
      </w:pBdr>
      <w:tabs>
        <w:tab w:val="center" w:pos="4153"/>
        <w:tab w:val="right" w:pos="8306"/>
      </w:tabs>
      <w:jc w:val="center"/>
    </w:pPr>
    <w:rPr>
      <w:rFonts w:eastAsia="宋体"/>
      <w:kern w:val="0"/>
      <w:sz w:val="18"/>
      <w:szCs w:val="18"/>
    </w:rPr>
  </w:style>
  <w:style w:type="paragraph" w:styleId="12">
    <w:name w:val="toc 1"/>
    <w:basedOn w:val="1"/>
    <w:next w:val="1"/>
    <w:qFormat/>
    <w:uiPriority w:val="99"/>
    <w:pPr>
      <w:spacing w:before="120"/>
      <w:jc w:val="left"/>
    </w:pPr>
    <w:rPr>
      <w:rFonts w:ascii="Calibri" w:hAnsi="Calibri"/>
      <w:b/>
      <w:bCs/>
      <w:i/>
      <w:iCs/>
      <w:sz w:val="24"/>
      <w:szCs w:val="24"/>
    </w:rPr>
  </w:style>
  <w:style w:type="paragraph" w:styleId="13">
    <w:name w:val="toc 2"/>
    <w:basedOn w:val="1"/>
    <w:next w:val="1"/>
    <w:qFormat/>
    <w:uiPriority w:val="99"/>
    <w:pPr>
      <w:spacing w:before="120"/>
      <w:ind w:left="320"/>
      <w:jc w:val="left"/>
    </w:pPr>
    <w:rPr>
      <w:rFonts w:ascii="Calibri" w:hAnsi="Calibri"/>
      <w:b/>
      <w:bCs/>
      <w:sz w:val="22"/>
    </w:rPr>
  </w:style>
  <w:style w:type="paragraph" w:styleId="14">
    <w:name w:val="Normal (Web)"/>
    <w:basedOn w:val="1"/>
    <w:qFormat/>
    <w:uiPriority w:val="99"/>
    <w:pPr>
      <w:widowControl/>
      <w:snapToGrid/>
      <w:spacing w:before="100" w:beforeAutospacing="1" w:after="100" w:afterAutospacing="1"/>
      <w:ind w:firstLine="0" w:firstLineChars="0"/>
      <w:jc w:val="left"/>
    </w:pPr>
    <w:rPr>
      <w:rFonts w:ascii="宋体" w:hAnsi="宋体" w:eastAsia="宋体" w:cs="宋体"/>
      <w:kern w:val="0"/>
      <w:sz w:val="24"/>
      <w:szCs w:val="24"/>
    </w:rPr>
  </w:style>
  <w:style w:type="paragraph" w:styleId="15">
    <w:name w:val="Body Text First Indent 2"/>
    <w:basedOn w:val="9"/>
    <w:qFormat/>
    <w:uiPriority w:val="99"/>
    <w:pPr>
      <w:snapToGrid/>
      <w:spacing w:line="240" w:lineRule="auto"/>
      <w:ind w:firstLine="420"/>
    </w:pPr>
    <w:rPr>
      <w:rFonts w:eastAsia="宋体"/>
      <w:sz w:val="21"/>
      <w:szCs w:val="21"/>
    </w:rPr>
  </w:style>
  <w:style w:type="character" w:styleId="18">
    <w:name w:val="page number"/>
    <w:basedOn w:val="17"/>
    <w:qFormat/>
    <w:uiPriority w:val="0"/>
    <w:rPr>
      <w:rFonts w:hint="default" w:ascii="Times New Roman" w:hAnsi="Times New Roman" w:cs="Times New Roman"/>
    </w:rPr>
  </w:style>
  <w:style w:type="character" w:styleId="19">
    <w:name w:val="Hyperlink"/>
    <w:basedOn w:val="17"/>
    <w:qFormat/>
    <w:uiPriority w:val="99"/>
    <w:rPr>
      <w:rFonts w:cs="Times New Roman"/>
      <w:color w:val="0000FF"/>
      <w:u w:val="single"/>
    </w:rPr>
  </w:style>
  <w:style w:type="paragraph" w:styleId="20">
    <w:name w:val="List Paragraph"/>
    <w:basedOn w:val="1"/>
    <w:qFormat/>
    <w:uiPriority w:val="99"/>
    <w:pPr>
      <w:ind w:firstLine="420"/>
    </w:pPr>
  </w:style>
  <w:style w:type="paragraph" w:customStyle="1" w:styleId="21">
    <w:name w:val="图片标题"/>
    <w:qFormat/>
    <w:uiPriority w:val="99"/>
    <w:pPr>
      <w:numPr>
        <w:ilvl w:val="5"/>
        <w:numId w:val="1"/>
      </w:numPr>
      <w:jc w:val="center"/>
    </w:pPr>
    <w:rPr>
      <w:rFonts w:ascii="Times New Roman" w:hAnsi="Times New Roman" w:eastAsia="黑体" w:cs="Times New Roman"/>
      <w:kern w:val="2"/>
      <w:sz w:val="22"/>
      <w:szCs w:val="20"/>
      <w:lang w:val="en-US" w:eastAsia="zh-CN" w:bidi="ar-SA"/>
    </w:rPr>
  </w:style>
  <w:style w:type="paragraph" w:customStyle="1" w:styleId="22">
    <w:name w:val="表格文字"/>
    <w:basedOn w:val="1"/>
    <w:qFormat/>
    <w:uiPriority w:val="99"/>
    <w:pPr>
      <w:adjustRightInd w:val="0"/>
      <w:spacing w:line="312" w:lineRule="auto"/>
      <w:ind w:firstLine="0" w:firstLineChars="0"/>
      <w:jc w:val="center"/>
    </w:pPr>
    <w:rPr>
      <w:sz w:val="22"/>
      <w:szCs w:val="20"/>
    </w:rPr>
  </w:style>
  <w:style w:type="paragraph" w:customStyle="1" w:styleId="23">
    <w:name w:val="my"/>
    <w:basedOn w:val="1"/>
    <w:qFormat/>
    <w:uiPriority w:val="99"/>
    <w:pPr>
      <w:widowControl/>
      <w:tabs>
        <w:tab w:val="left" w:pos="0"/>
      </w:tabs>
      <w:adjustRightInd w:val="0"/>
      <w:snapToGrid/>
      <w:spacing w:line="560" w:lineRule="exact"/>
    </w:pPr>
    <w:rPr>
      <w:rFonts w:eastAsia="华文楷体"/>
      <w:kern w:val="0"/>
      <w:szCs w:val="20"/>
    </w:rPr>
  </w:style>
  <w:style w:type="character" w:customStyle="1" w:styleId="24">
    <w:name w:val="Footer Char"/>
    <w:basedOn w:val="17"/>
    <w:link w:val="10"/>
    <w:qFormat/>
    <w:uiPriority w:val="0"/>
    <w:rPr>
      <w:sz w:val="18"/>
      <w:szCs w:val="18"/>
      <w:lang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NUL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81</Pages>
  <Words>32012</Words>
  <Characters>34431</Characters>
  <Lines>1</Lines>
  <Paragraphs>1</Paragraphs>
  <TotalTime>10</TotalTime>
  <ScaleCrop>false</ScaleCrop>
  <LinksUpToDate>false</LinksUpToDate>
  <CharactersWithSpaces>34715</CharactersWithSpaces>
  <Application>WPS Office_11.8.2.9831_F1E327BC-269C-435d-A152-05C5408002CA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2022-06-18T02:25:00Z</dcterms:created>
  <dc:creator>筱钰</dc:creator>
  <cp:lastModifiedBy>greatwall</cp:lastModifiedBy>
  <cp:lastPrinted>2022-06-18T06:55:00Z</cp:lastPrinted>
  <dcterms:modified xsi:type="dcterms:W3CDTF">2023-08-25T15:32:56Z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y fmtid="{D5CDD505-2E9C-101B-9397-08002B2CF9AE}" pid="3" name="ICV">
    <vt:lpwstr>011C0802F1D6414CAD5C010928B05A62</vt:lpwstr>
  </property>
</Properties>
</file>