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C9" w:rsidRDefault="004319C9" w:rsidP="004319C9">
      <w:pPr>
        <w:spacing w:line="600" w:lineRule="exact"/>
        <w:jc w:val="center"/>
      </w:pPr>
      <w:r>
        <w:rPr>
          <w:rFonts w:ascii="方正小标宋简体" w:eastAsia="方正小标宋简体" w:hAnsi="方正小标宋简体" w:cs="方正小标宋简体"/>
          <w:bCs/>
          <w:sz w:val="44"/>
          <w:szCs w:val="44"/>
        </w:rPr>
        <w:t>平阳县安置用地供地及不动产登记</w:t>
      </w:r>
    </w:p>
    <w:p w:rsidR="004319C9" w:rsidRDefault="004319C9" w:rsidP="004319C9">
      <w:pPr>
        <w:spacing w:line="600" w:lineRule="exact"/>
        <w:jc w:val="center"/>
      </w:pPr>
      <w:r>
        <w:rPr>
          <w:rFonts w:ascii="方正小标宋简体" w:eastAsia="方正小标宋简体" w:hAnsi="方正小标宋简体" w:cs="方正小标宋简体"/>
          <w:bCs/>
          <w:sz w:val="44"/>
          <w:szCs w:val="44"/>
        </w:rPr>
        <w:t>实施办法</w:t>
      </w:r>
      <w:r w:rsidR="00E646D8" w:rsidRPr="00E646D8">
        <w:rPr>
          <w:rFonts w:ascii="方正小标宋简体" w:eastAsia="方正小标宋简体" w:hAnsi="方正小标宋简体" w:cs="方正小标宋简体" w:hint="eastAsia"/>
          <w:bCs/>
          <w:sz w:val="44"/>
          <w:szCs w:val="44"/>
        </w:rPr>
        <w:t>（征求意见稿）</w:t>
      </w:r>
    </w:p>
    <w:p w:rsidR="004319C9" w:rsidRDefault="004319C9" w:rsidP="008A6B85">
      <w:pPr>
        <w:widowControl w:val="0"/>
        <w:adjustRightInd/>
        <w:snapToGrid/>
        <w:spacing w:beforeLines="50" w:line="540" w:lineRule="exact"/>
        <w:jc w:val="center"/>
      </w:pPr>
      <w:r>
        <w:rPr>
          <w:rFonts w:ascii="仿宋" w:eastAsia="仿宋" w:hAnsi="仿宋" w:cs="仿宋_GB2312"/>
          <w:kern w:val="2"/>
          <w:sz w:val="32"/>
          <w:szCs w:val="32"/>
        </w:rPr>
        <w:t>第一章 总则</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第一条 为进一步规范和加强安置用地供地行为及不动产登记管理，保障安置群众合法权益，依据 《不动产登记暂行条例》《划拨用地目录》《招标拍卖挂牌出让国有建设用地使用权规定》</w:t>
      </w:r>
      <w:r>
        <w:rPr>
          <w:rFonts w:ascii="仿宋" w:eastAsia="仿宋" w:hAnsi="仿宋" w:cs="仿宋_GB2312"/>
          <w:kern w:val="2"/>
          <w:sz w:val="32"/>
          <w:szCs w:val="32"/>
          <w:shd w:val="clear" w:color="auto" w:fill="FFFFFF"/>
        </w:rPr>
        <w:t>《关于扩大国有土地有偿使用范围的意见》</w:t>
      </w:r>
      <w:r>
        <w:rPr>
          <w:rFonts w:ascii="仿宋" w:eastAsia="仿宋" w:hAnsi="仿宋" w:cs="仿宋_GB2312"/>
          <w:kern w:val="2"/>
          <w:sz w:val="32"/>
          <w:szCs w:val="32"/>
        </w:rPr>
        <w:t>等行政法规、部门规章和文件规定，结合我县实际，特制定本办法。</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第二条 本办法适用拆迁安置、政策性住房、地质灾害搬迁、移民安置、异地搬迁、无房户困难户集中安置等安置项目。</w:t>
      </w:r>
    </w:p>
    <w:p w:rsidR="004319C9" w:rsidRDefault="004319C9" w:rsidP="004319C9">
      <w:pPr>
        <w:widowControl w:val="0"/>
        <w:adjustRightInd/>
        <w:snapToGrid/>
        <w:spacing w:line="540" w:lineRule="exact"/>
        <w:ind w:firstLine="723"/>
        <w:jc w:val="center"/>
      </w:pPr>
      <w:r>
        <w:rPr>
          <w:rFonts w:ascii="仿宋" w:eastAsia="仿宋" w:hAnsi="仿宋" w:cs="仿宋_GB2312"/>
          <w:kern w:val="2"/>
          <w:sz w:val="32"/>
          <w:szCs w:val="32"/>
        </w:rPr>
        <w:t>第二章 安置用地供地</w:t>
      </w:r>
    </w:p>
    <w:p w:rsidR="004319C9" w:rsidRDefault="004319C9" w:rsidP="004319C9">
      <w:pPr>
        <w:widowControl w:val="0"/>
        <w:adjustRightInd/>
        <w:snapToGrid/>
        <w:spacing w:line="540" w:lineRule="exact"/>
        <w:ind w:firstLine="640"/>
      </w:pPr>
      <w:r>
        <w:rPr>
          <w:rFonts w:ascii="仿宋" w:eastAsia="仿宋" w:hAnsi="仿宋" w:cs="仿宋_GB2312"/>
          <w:kern w:val="2"/>
          <w:sz w:val="32"/>
          <w:szCs w:val="32"/>
        </w:rPr>
        <w:t>第三条 安置用地内，商业部分采取土地出让方式供地，安置部分鼓励以土地出让方式供地。</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第四条 以国有划拨方式供地的，依申请经县政府同意后方可实施。</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第五条 建筑高度</w:t>
      </w:r>
      <w:r>
        <w:rPr>
          <w:rFonts w:ascii="仿宋" w:eastAsia="仿宋" w:hAnsi="仿宋" w:cs="仿宋"/>
          <w:kern w:val="2"/>
          <w:sz w:val="32"/>
          <w:szCs w:val="32"/>
        </w:rPr>
        <w:t>27</w:t>
      </w:r>
      <w:r>
        <w:rPr>
          <w:rFonts w:ascii="仿宋" w:eastAsia="仿宋" w:hAnsi="仿宋" w:cs="仿宋_GB2312"/>
          <w:kern w:val="2"/>
          <w:sz w:val="32"/>
          <w:szCs w:val="32"/>
        </w:rPr>
        <w:t xml:space="preserve">米及以下多层安置项目用地可以个人按村民建房类审批程序办理相关国有划拨手续。 </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建筑高度</w:t>
      </w:r>
      <w:r>
        <w:rPr>
          <w:rFonts w:ascii="仿宋" w:eastAsia="仿宋" w:hAnsi="仿宋" w:cs="仿宋"/>
          <w:kern w:val="2"/>
          <w:sz w:val="32"/>
          <w:szCs w:val="32"/>
        </w:rPr>
        <w:t>27</w:t>
      </w:r>
      <w:r>
        <w:rPr>
          <w:rFonts w:ascii="仿宋" w:eastAsia="仿宋" w:hAnsi="仿宋" w:cs="仿宋_GB2312"/>
          <w:kern w:val="2"/>
          <w:sz w:val="32"/>
          <w:szCs w:val="32"/>
        </w:rPr>
        <w:t>米以上或以村集体经济组织名义报批的安置项目用地按公建项目办理相关国有划拨手续。</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lastRenderedPageBreak/>
        <w:t>第六条 国有划拨方式供地的需提供房屋安置方案，明确安置类型、安置面积、安置对象、安置定位方式、面积补价方式、楼层补价方式、付款方式等。</w:t>
      </w:r>
    </w:p>
    <w:p w:rsidR="004319C9" w:rsidRDefault="004319C9" w:rsidP="004319C9">
      <w:pPr>
        <w:widowControl w:val="0"/>
        <w:adjustRightInd/>
        <w:snapToGrid/>
        <w:spacing w:line="540" w:lineRule="exact"/>
        <w:ind w:firstLine="643"/>
      </w:pPr>
      <w:r>
        <w:rPr>
          <w:rFonts w:ascii="仿宋" w:eastAsia="仿宋" w:hAnsi="仿宋" w:cs="仿宋_GB2312"/>
          <w:kern w:val="2"/>
          <w:sz w:val="32"/>
          <w:szCs w:val="32"/>
        </w:rPr>
        <w:t>第七条 国有划拨安置项目中富余房源归政府所有的，应在房屋安置方案中明确富余房源具体面积、具体位置、委托建设内容、产权归属、交付结算、产权登记及相关费用等，自然资源和规划部门需在一书方案和划拨决定书中予以注明富余房源位置和面积。富余房源比例原则上不得超总建筑面积的</w:t>
      </w:r>
      <w:r>
        <w:rPr>
          <w:rFonts w:ascii="仿宋" w:eastAsia="仿宋" w:hAnsi="仿宋" w:cs="仿宋"/>
          <w:kern w:val="2"/>
          <w:sz w:val="32"/>
          <w:szCs w:val="32"/>
        </w:rPr>
        <w:t>10%</w:t>
      </w:r>
      <w:r>
        <w:rPr>
          <w:rFonts w:ascii="仿宋" w:eastAsia="仿宋" w:hAnsi="仿宋" w:cs="仿宋_GB2312"/>
          <w:kern w:val="2"/>
          <w:sz w:val="32"/>
          <w:szCs w:val="32"/>
        </w:rPr>
        <w:t>。</w:t>
      </w:r>
    </w:p>
    <w:p w:rsidR="004319C9" w:rsidRDefault="004319C9" w:rsidP="004319C9">
      <w:pPr>
        <w:widowControl w:val="0"/>
        <w:adjustRightInd/>
        <w:snapToGrid/>
        <w:spacing w:line="540" w:lineRule="exact"/>
        <w:ind w:firstLine="640"/>
      </w:pPr>
      <w:r>
        <w:rPr>
          <w:rFonts w:ascii="仿宋" w:eastAsia="仿宋" w:hAnsi="仿宋" w:cs="仿宋_GB2312"/>
          <w:kern w:val="2"/>
          <w:sz w:val="32"/>
          <w:szCs w:val="32"/>
        </w:rPr>
        <w:t>第八条 安置用地出让乡镇要按照地块农转用土地征收情况拟定安置用地出让计划，年初报县自然资源和规划局纳入土地供应年度计划。</w:t>
      </w:r>
    </w:p>
    <w:p w:rsidR="004319C9" w:rsidRDefault="004319C9" w:rsidP="004319C9">
      <w:pPr>
        <w:widowControl w:val="0"/>
        <w:adjustRightInd/>
        <w:snapToGrid/>
        <w:spacing w:line="540" w:lineRule="exact"/>
        <w:ind w:firstLine="640"/>
      </w:pPr>
      <w:r>
        <w:rPr>
          <w:rFonts w:ascii="仿宋" w:eastAsia="仿宋" w:hAnsi="仿宋" w:cs="仿宋_GB2312"/>
          <w:kern w:val="2"/>
          <w:sz w:val="32"/>
          <w:szCs w:val="32"/>
        </w:rPr>
        <w:t>第九条 以拍卖、挂牌公开出让方式供应的安置项目土地，采取“定标准、限房价、竞地价”方式确定竞得人。</w:t>
      </w:r>
    </w:p>
    <w:p w:rsidR="004319C9" w:rsidRDefault="004319C9" w:rsidP="004319C9">
      <w:pPr>
        <w:widowControl w:val="0"/>
        <w:adjustRightInd/>
        <w:snapToGrid/>
        <w:spacing w:line="540" w:lineRule="exact"/>
        <w:ind w:firstLine="640"/>
      </w:pPr>
      <w:r>
        <w:rPr>
          <w:rFonts w:ascii="仿宋" w:eastAsia="仿宋" w:hAnsi="仿宋" w:cs="仿宋_GB2312"/>
          <w:kern w:val="2"/>
          <w:sz w:val="32"/>
          <w:szCs w:val="32"/>
        </w:rPr>
        <w:t>出让起始价不得低于地块所在地级别基准地价的</w:t>
      </w:r>
      <w:r>
        <w:rPr>
          <w:rFonts w:ascii="仿宋" w:eastAsia="仿宋" w:hAnsi="仿宋" w:cs="仿宋"/>
          <w:kern w:val="2"/>
          <w:sz w:val="32"/>
          <w:szCs w:val="32"/>
        </w:rPr>
        <w:t>70%</w:t>
      </w:r>
      <w:r>
        <w:rPr>
          <w:rFonts w:ascii="仿宋" w:eastAsia="仿宋" w:hAnsi="仿宋" w:cs="仿宋_GB2312"/>
          <w:kern w:val="2"/>
          <w:sz w:val="32"/>
          <w:szCs w:val="32"/>
        </w:rPr>
        <w:t>。</w:t>
      </w:r>
    </w:p>
    <w:p w:rsidR="004319C9" w:rsidRDefault="004319C9" w:rsidP="004319C9">
      <w:pPr>
        <w:widowControl w:val="0"/>
        <w:adjustRightInd/>
        <w:snapToGrid/>
        <w:spacing w:line="540" w:lineRule="exact"/>
      </w:pPr>
      <w:r>
        <w:rPr>
          <w:rFonts w:ascii="仿宋" w:eastAsia="仿宋" w:hAnsi="仿宋" w:cs="仿宋"/>
          <w:kern w:val="2"/>
          <w:sz w:val="32"/>
          <w:szCs w:val="32"/>
        </w:rPr>
        <w:t xml:space="preserve">    </w:t>
      </w:r>
      <w:r>
        <w:rPr>
          <w:rFonts w:ascii="仿宋" w:eastAsia="仿宋" w:hAnsi="仿宋" w:cs="仿宋_GB2312"/>
          <w:kern w:val="2"/>
          <w:sz w:val="32"/>
          <w:szCs w:val="32"/>
        </w:rPr>
        <w:t>第十条 安置用地在出让前由乡镇政府、管委会或受委托的国有公司拟定《建设管理合同》并报县政府批准。</w:t>
      </w:r>
    </w:p>
    <w:p w:rsidR="004319C9" w:rsidRDefault="004319C9" w:rsidP="004319C9">
      <w:pPr>
        <w:widowControl w:val="0"/>
        <w:adjustRightInd/>
        <w:snapToGrid/>
        <w:spacing w:line="540" w:lineRule="exact"/>
      </w:pPr>
      <w:r>
        <w:rPr>
          <w:rFonts w:ascii="仿宋" w:eastAsia="仿宋" w:hAnsi="仿宋" w:cs="仿宋"/>
          <w:kern w:val="2"/>
          <w:sz w:val="32"/>
          <w:szCs w:val="32"/>
        </w:rPr>
        <w:t xml:space="preserve">    </w:t>
      </w:r>
      <w:r>
        <w:rPr>
          <w:rFonts w:ascii="仿宋" w:eastAsia="仿宋" w:hAnsi="仿宋" w:cs="仿宋_GB2312"/>
          <w:kern w:val="2"/>
          <w:sz w:val="32"/>
          <w:szCs w:val="32"/>
        </w:rPr>
        <w:t>第十一条 《建设管理合同》作为土地使用条件，纳入出让履约管理。</w:t>
      </w:r>
    </w:p>
    <w:p w:rsidR="004319C9" w:rsidRDefault="004319C9" w:rsidP="004319C9">
      <w:pPr>
        <w:widowControl w:val="0"/>
        <w:adjustRightInd/>
        <w:snapToGrid/>
        <w:spacing w:line="540" w:lineRule="exact"/>
      </w:pPr>
      <w:r>
        <w:rPr>
          <w:rFonts w:ascii="仿宋" w:eastAsia="仿宋" w:hAnsi="仿宋" w:cs="仿宋_GB2312"/>
          <w:kern w:val="2"/>
          <w:sz w:val="32"/>
          <w:szCs w:val="32"/>
        </w:rPr>
        <w:t xml:space="preserve">    竞得人在签订《国有建设用地使用权出让合同》之前与乡镇政府、管委会或受委托的国有公司签订《建设管理合同》。</w:t>
      </w:r>
    </w:p>
    <w:p w:rsidR="004319C9" w:rsidRDefault="004319C9" w:rsidP="004319C9">
      <w:pPr>
        <w:widowControl w:val="0"/>
        <w:adjustRightInd/>
        <w:snapToGrid/>
        <w:spacing w:line="540" w:lineRule="exact"/>
      </w:pPr>
      <w:r>
        <w:rPr>
          <w:rFonts w:ascii="仿宋" w:eastAsia="仿宋" w:hAnsi="仿宋" w:cs="仿宋_GB2312"/>
          <w:kern w:val="2"/>
          <w:sz w:val="32"/>
          <w:szCs w:val="32"/>
        </w:rPr>
        <w:lastRenderedPageBreak/>
        <w:t xml:space="preserve">    乡镇政府、管委会或受委托的国有公司要对《建设管理合同》履行情况实施监督。 </w:t>
      </w:r>
    </w:p>
    <w:p w:rsidR="004319C9" w:rsidRDefault="004319C9" w:rsidP="004319C9">
      <w:pPr>
        <w:widowControl w:val="0"/>
        <w:adjustRightInd/>
        <w:snapToGrid/>
        <w:spacing w:line="540" w:lineRule="exact"/>
      </w:pPr>
      <w:r>
        <w:rPr>
          <w:rFonts w:ascii="仿宋" w:eastAsia="仿宋" w:hAnsi="仿宋" w:cs="仿宋"/>
          <w:kern w:val="2"/>
          <w:sz w:val="32"/>
          <w:szCs w:val="32"/>
        </w:rPr>
        <w:t xml:space="preserve">    </w:t>
      </w:r>
      <w:r>
        <w:rPr>
          <w:rFonts w:ascii="仿宋" w:eastAsia="仿宋" w:hAnsi="仿宋" w:cs="仿宋_GB2312"/>
          <w:kern w:val="2"/>
          <w:sz w:val="32"/>
          <w:szCs w:val="32"/>
        </w:rPr>
        <w:t>第十二条 《建设管理合同》内容包含项目基本情况、合同主体要求、项目建设要求、履约保证、回购内容及价格构成、资金支付、项目移交与监管、项目建设服务、合同的转让和变更及解除、其他违约责任、不可抗力和法律变更、双方主要权利义务、争议解决办法、其他事项等。</w:t>
      </w:r>
    </w:p>
    <w:p w:rsidR="004319C9" w:rsidRDefault="004319C9" w:rsidP="004319C9">
      <w:pPr>
        <w:widowControl w:val="0"/>
        <w:adjustRightInd/>
        <w:snapToGrid/>
        <w:spacing w:line="520" w:lineRule="exact"/>
      </w:pPr>
      <w:r>
        <w:rPr>
          <w:rFonts w:ascii="仿宋" w:eastAsia="仿宋" w:hAnsi="仿宋" w:cs="仿宋"/>
          <w:kern w:val="2"/>
          <w:sz w:val="32"/>
          <w:szCs w:val="32"/>
        </w:rPr>
        <w:t xml:space="preserve">    </w:t>
      </w:r>
      <w:r>
        <w:rPr>
          <w:rFonts w:ascii="仿宋" w:eastAsia="仿宋" w:hAnsi="仿宋" w:cs="仿宋_GB2312"/>
          <w:kern w:val="2"/>
          <w:sz w:val="32"/>
          <w:szCs w:val="32"/>
        </w:rPr>
        <w:t>第十三条 房屋回购内容纳入《建设管理合同》履约管理，</w:t>
      </w:r>
      <w:r>
        <w:rPr>
          <w:rFonts w:ascii="仿宋" w:eastAsia="仿宋" w:hAnsi="仿宋" w:cs="仿宋_GB2312" w:hint="eastAsia"/>
          <w:kern w:val="2"/>
          <w:sz w:val="32"/>
          <w:szCs w:val="32"/>
        </w:rPr>
        <w:t>内容包含回购面积、回购价格、支付方式、回购房屋套型、朝向要求、楼层要求、栋位要求、车位要求、不得抵押约定。</w:t>
      </w:r>
    </w:p>
    <w:p w:rsidR="004319C9" w:rsidRDefault="004319C9" w:rsidP="004319C9">
      <w:pPr>
        <w:widowControl w:val="0"/>
        <w:adjustRightInd/>
        <w:snapToGrid/>
        <w:spacing w:line="520" w:lineRule="exact"/>
      </w:pPr>
      <w:r>
        <w:rPr>
          <w:rFonts w:ascii="仿宋" w:eastAsia="仿宋" w:hAnsi="仿宋" w:cs="仿宋_GB2312" w:hint="eastAsia"/>
          <w:kern w:val="2"/>
          <w:sz w:val="32"/>
          <w:szCs w:val="32"/>
        </w:rPr>
        <w:t xml:space="preserve">   </w:t>
      </w:r>
      <w:r>
        <w:rPr>
          <w:rFonts w:ascii="仿宋" w:eastAsia="仿宋" w:hAnsi="仿宋" w:cs="仿宋_GB2312"/>
          <w:kern w:val="2"/>
          <w:sz w:val="32"/>
          <w:szCs w:val="32"/>
        </w:rPr>
        <w:t>第十四条 出让的安置项目用地，土地出让金收入全额缴入国库。</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县财政局计提土地出让金的10%作为综合费用后，剩余部分</w:t>
      </w:r>
      <w:r w:rsidR="008A6B85">
        <w:rPr>
          <w:rFonts w:ascii="仿宋" w:eastAsia="仿宋" w:hAnsi="仿宋" w:cs="仿宋_GB2312" w:hint="eastAsia"/>
          <w:kern w:val="2"/>
          <w:sz w:val="32"/>
          <w:szCs w:val="32"/>
        </w:rPr>
        <w:t>安</w:t>
      </w:r>
      <w:r>
        <w:rPr>
          <w:rFonts w:ascii="仿宋" w:eastAsia="仿宋" w:hAnsi="仿宋" w:cs="仿宋_GB2312"/>
          <w:kern w:val="2"/>
          <w:sz w:val="32"/>
          <w:szCs w:val="32"/>
        </w:rPr>
        <w:t>排乡镇用于征地和拆迁补偿、土地开发、城市发展建设、新农村建设、偿还融资贷款等支出。</w:t>
      </w:r>
    </w:p>
    <w:p w:rsidR="004319C9" w:rsidRDefault="004319C9" w:rsidP="004319C9">
      <w:pPr>
        <w:widowControl w:val="0"/>
        <w:adjustRightInd/>
        <w:snapToGrid/>
        <w:spacing w:line="520" w:lineRule="exact"/>
        <w:jc w:val="center"/>
      </w:pPr>
      <w:r>
        <w:rPr>
          <w:rFonts w:ascii="仿宋" w:eastAsia="仿宋" w:hAnsi="仿宋" w:cs="仿宋_GB2312"/>
          <w:kern w:val="2"/>
          <w:sz w:val="32"/>
          <w:szCs w:val="32"/>
        </w:rPr>
        <w:t>第三章  房屋安置</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第十五条 房屋安置方案由村委会、乡镇政府、管委会拟定报当地乡镇政府及相关部门审核后报县政府审批。</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县自然资源和规划局负责核实地质灾害搬迁安置规模。</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县住房和城乡建设局负责核实拆迁安置规模和政策性住房规模和对象；</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县民政局负责核实移民安置规模和对象；</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lastRenderedPageBreak/>
        <w:t>乡镇政府负责核实异地搬迁安置、无房户困难户安置规模和对象，拆迁安置、地质灾害搬迁安置对象，核实村民会议或村民代表大会讨论决定与公示情况。</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第十六条 国有划拨富余房源和出让回购的房源用于拆迁安置、政策性住房、地质灾害搬迁、移民安置、异地搬迁、无房户困难户集中安置。</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第十七条 出让回购的房屋竣工验收交付后，房企凭乡镇政府、管委会或受委托的国有公司提供的经各部门审核后的房屋安置方案和安置对象名单与安置对象按约定签订商品房买卖合同，并报县住房和城乡建设局办理备案手续。</w:t>
      </w:r>
    </w:p>
    <w:p w:rsidR="004319C9" w:rsidRDefault="004319C9" w:rsidP="004319C9">
      <w:pPr>
        <w:widowControl w:val="0"/>
        <w:adjustRightInd/>
        <w:snapToGrid/>
        <w:spacing w:line="520" w:lineRule="exact"/>
        <w:ind w:firstLine="723"/>
        <w:jc w:val="center"/>
      </w:pPr>
      <w:r>
        <w:rPr>
          <w:rFonts w:ascii="仿宋" w:eastAsia="仿宋" w:hAnsi="仿宋" w:cs="仿宋_GB2312"/>
          <w:kern w:val="2"/>
          <w:sz w:val="32"/>
          <w:szCs w:val="32"/>
        </w:rPr>
        <w:t>第四章 不动产登记</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第十八条 房企取得出让地块使用权后政府回购房屋部分相对应的土地使用权不得抵押融资，回购房屋部分土地使用权面积以建筑面积占比分摊计算。</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 xml:space="preserve">第十九条 房企申请土地使用权和房屋所有权首次登记后，安置户可申请不动产转移预告登记及不动产抵押权预告登记。 </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第二十条 出让回购的房屋竣工验收后，</w:t>
      </w:r>
      <w:r>
        <w:rPr>
          <w:rFonts w:ascii="仿宋" w:eastAsia="仿宋" w:hAnsi="仿宋" w:cs="仿宋"/>
          <w:kern w:val="2"/>
          <w:sz w:val="32"/>
          <w:szCs w:val="32"/>
        </w:rPr>
        <w:t>6</w:t>
      </w:r>
      <w:r>
        <w:rPr>
          <w:rFonts w:ascii="仿宋" w:eastAsia="仿宋" w:hAnsi="仿宋" w:cs="仿宋_GB2312"/>
          <w:kern w:val="2"/>
          <w:sz w:val="32"/>
          <w:szCs w:val="32"/>
        </w:rPr>
        <w:t>个月内未安置的富余房源产权直接登记到当地乡镇政府、管委会或受委托的国有公司名下。</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第二十一条 国有划拨安置项目竣工验收交付后，以村集体经济组织名义报批的，应先申请整宗地土地使用权及房屋所有权的首次登记，再申请办理安置户（建房户）的不动产登记。</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lastRenderedPageBreak/>
        <w:t>以安置户（建房户）个人名义报批的，直接申请办理不动产登记。</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属于政府的富余房源</w:t>
      </w:r>
      <w:r>
        <w:rPr>
          <w:rFonts w:ascii="仿宋" w:eastAsia="仿宋" w:hAnsi="仿宋" w:cs="仿宋"/>
          <w:kern w:val="2"/>
          <w:sz w:val="32"/>
          <w:szCs w:val="32"/>
        </w:rPr>
        <w:t>,</w:t>
      </w:r>
      <w:r>
        <w:rPr>
          <w:rFonts w:ascii="仿宋" w:eastAsia="仿宋" w:hAnsi="仿宋" w:cs="仿宋_GB2312"/>
          <w:kern w:val="2"/>
          <w:sz w:val="32"/>
          <w:szCs w:val="32"/>
        </w:rPr>
        <w:t>凭交付结算书面材料，直接申请登记在镇政府或受委托的国有公司名下。</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第二十二条 出让回购安置项目凭经备案的商品房买卖合同直接申请办理不动产登记。</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第二十三条 以村集体经济组织名义报批的项目，安置户申请办理不动产登记在符合用地审批材料中的安置户（建房户）清单前提下，还需提供以下材料：</w:t>
      </w:r>
    </w:p>
    <w:p w:rsidR="004319C9" w:rsidRDefault="004319C9" w:rsidP="004319C9">
      <w:pPr>
        <w:widowControl w:val="0"/>
        <w:adjustRightInd/>
        <w:snapToGrid/>
        <w:spacing w:line="520" w:lineRule="exact"/>
        <w:ind w:firstLine="640"/>
      </w:pPr>
      <w:r>
        <w:rPr>
          <w:rFonts w:ascii="仿宋" w:eastAsia="仿宋" w:hAnsi="仿宋" w:cs="仿宋"/>
          <w:kern w:val="2"/>
          <w:sz w:val="32"/>
          <w:szCs w:val="32"/>
        </w:rPr>
        <w:t xml:space="preserve"> </w:t>
      </w:r>
      <w:r>
        <w:rPr>
          <w:rFonts w:ascii="仿宋" w:eastAsia="仿宋" w:hAnsi="仿宋" w:cs="仿宋_GB2312"/>
          <w:kern w:val="2"/>
          <w:sz w:val="32"/>
          <w:szCs w:val="32"/>
        </w:rPr>
        <w:t>（一）安置户（建房户）身份证明；</w:t>
      </w:r>
    </w:p>
    <w:p w:rsidR="004319C9" w:rsidRDefault="004319C9" w:rsidP="004319C9">
      <w:pPr>
        <w:widowControl w:val="0"/>
        <w:adjustRightInd/>
        <w:snapToGrid/>
        <w:spacing w:line="520" w:lineRule="exact"/>
        <w:ind w:firstLine="640"/>
      </w:pPr>
      <w:r>
        <w:rPr>
          <w:rFonts w:ascii="仿宋" w:eastAsia="仿宋" w:hAnsi="仿宋" w:cs="仿宋"/>
          <w:kern w:val="2"/>
          <w:sz w:val="32"/>
          <w:szCs w:val="32"/>
        </w:rPr>
        <w:t xml:space="preserve"> </w:t>
      </w:r>
      <w:r>
        <w:rPr>
          <w:rFonts w:ascii="仿宋" w:eastAsia="仿宋" w:hAnsi="仿宋" w:cs="仿宋_GB2312"/>
          <w:kern w:val="2"/>
          <w:sz w:val="32"/>
          <w:szCs w:val="32"/>
        </w:rPr>
        <w:t>（二）经村委会及当地乡镇政府审核确认的分户定位单及公示材料；</w:t>
      </w:r>
    </w:p>
    <w:p w:rsidR="004319C9" w:rsidRDefault="004319C9" w:rsidP="004319C9">
      <w:pPr>
        <w:widowControl w:val="0"/>
        <w:adjustRightInd/>
        <w:snapToGrid/>
        <w:spacing w:line="520" w:lineRule="exact"/>
        <w:ind w:firstLine="640"/>
      </w:pPr>
      <w:r>
        <w:rPr>
          <w:rFonts w:ascii="仿宋" w:eastAsia="仿宋" w:hAnsi="仿宋" w:cs="仿宋"/>
          <w:kern w:val="2"/>
          <w:sz w:val="32"/>
          <w:szCs w:val="32"/>
        </w:rPr>
        <w:t xml:space="preserve"> </w:t>
      </w:r>
      <w:r>
        <w:rPr>
          <w:rFonts w:ascii="仿宋" w:eastAsia="仿宋" w:hAnsi="仿宋" w:cs="仿宋_GB2312"/>
          <w:kern w:val="2"/>
          <w:sz w:val="32"/>
          <w:szCs w:val="32"/>
        </w:rPr>
        <w:t>（三）其它须提交的材料。</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第二十四条 国有划拨和出让回购未安置的富余房源安置后申请办理不动产登记需提供房屋安置方案外还需提交以下材料：</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属拆迁安置的，需提交与各乡镇人民政府签订的拆迁安置协议书。</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第二十五 落实安置后，不动产权利人申请办理不动产登记时，不动产登记部门在办理过程中应向税务部门推送，经税务部门核实出具免征、不征或应征完税凭证后，再予以审核登簿发证。</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lastRenderedPageBreak/>
        <w:t>第二十六条 属拆旧建新的，旧房未拆除前，一律不得办理新房不动产登记手续，其中旧房已办理不动产登记的，须办理</w:t>
      </w:r>
      <w:r>
        <w:rPr>
          <w:rFonts w:ascii="仿宋" w:eastAsia="仿宋" w:hAnsi="仿宋" w:cs="仿宋_GB2312" w:hint="eastAsia"/>
          <w:kern w:val="2"/>
          <w:sz w:val="32"/>
          <w:szCs w:val="32"/>
        </w:rPr>
        <w:t>抵押权、土地使用权和房屋所有权</w:t>
      </w:r>
      <w:r>
        <w:rPr>
          <w:rFonts w:ascii="仿宋" w:eastAsia="仿宋" w:hAnsi="仿宋" w:cs="仿宋_GB2312"/>
          <w:kern w:val="2"/>
          <w:sz w:val="32"/>
          <w:szCs w:val="32"/>
        </w:rPr>
        <w:t>注销登记后</w:t>
      </w:r>
      <w:r>
        <w:rPr>
          <w:rFonts w:ascii="仿宋" w:eastAsia="仿宋" w:hAnsi="仿宋" w:cs="仿宋_GB2312" w:hint="eastAsia"/>
          <w:kern w:val="2"/>
          <w:sz w:val="32"/>
          <w:szCs w:val="32"/>
        </w:rPr>
        <w:t>，</w:t>
      </w:r>
      <w:r>
        <w:rPr>
          <w:rFonts w:ascii="仿宋" w:eastAsia="仿宋" w:hAnsi="仿宋" w:cs="仿宋_GB2312"/>
          <w:kern w:val="2"/>
          <w:sz w:val="32"/>
          <w:szCs w:val="32"/>
        </w:rPr>
        <w:t>新房方可办理不动产登记。</w:t>
      </w:r>
    </w:p>
    <w:p w:rsidR="004319C9" w:rsidRDefault="004319C9" w:rsidP="004319C9">
      <w:pPr>
        <w:widowControl w:val="0"/>
        <w:adjustRightInd/>
        <w:snapToGrid/>
        <w:spacing w:line="520" w:lineRule="exact"/>
        <w:ind w:firstLine="723"/>
        <w:jc w:val="center"/>
      </w:pPr>
      <w:r>
        <w:rPr>
          <w:rFonts w:ascii="仿宋" w:eastAsia="仿宋" w:hAnsi="仿宋" w:cs="仿宋_GB2312"/>
          <w:kern w:val="2"/>
          <w:sz w:val="32"/>
          <w:szCs w:val="32"/>
        </w:rPr>
        <w:t>第五章 附则</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第二十七条 以集体拨用方式供地的安置项目参照本办法执行。集体拨用方式供地不得存在富余房源。</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第二十八条 以乡镇人民政府、管委会或受委托的国有公司名义统规统建和本办法实施前统规自建方式供地的安置项目、国有农场职工安置项目，办理不动产登记时参照本办法执行。</w:t>
      </w:r>
    </w:p>
    <w:p w:rsidR="004319C9" w:rsidRDefault="004319C9" w:rsidP="004319C9">
      <w:pPr>
        <w:widowControl w:val="0"/>
        <w:adjustRightInd/>
        <w:snapToGrid/>
        <w:spacing w:line="520" w:lineRule="exact"/>
        <w:ind w:firstLine="640"/>
      </w:pPr>
      <w:r>
        <w:rPr>
          <w:rFonts w:ascii="仿宋" w:eastAsia="仿宋" w:hAnsi="仿宋" w:cs="仿宋_GB2312"/>
          <w:kern w:val="2"/>
          <w:sz w:val="32"/>
          <w:szCs w:val="32"/>
        </w:rPr>
        <w:t>第二十九 出让竞投政策性住房安置参照本办法执行。</w:t>
      </w:r>
    </w:p>
    <w:p w:rsidR="004319C9" w:rsidRDefault="004319C9" w:rsidP="004319C9">
      <w:pPr>
        <w:widowControl w:val="0"/>
        <w:adjustRightInd/>
        <w:snapToGrid/>
        <w:spacing w:line="520" w:lineRule="exact"/>
        <w:ind w:firstLine="643"/>
      </w:pPr>
      <w:r>
        <w:rPr>
          <w:rFonts w:ascii="仿宋" w:eastAsia="仿宋" w:hAnsi="仿宋" w:cs="仿宋_GB2312"/>
          <w:kern w:val="2"/>
          <w:sz w:val="32"/>
          <w:szCs w:val="32"/>
        </w:rPr>
        <w:t>第三十条 本办法自</w:t>
      </w:r>
      <w:r>
        <w:rPr>
          <w:rFonts w:ascii="仿宋" w:eastAsia="仿宋" w:hAnsi="仿宋" w:cs="仿宋"/>
          <w:kern w:val="2"/>
          <w:sz w:val="32"/>
          <w:szCs w:val="32"/>
        </w:rPr>
        <w:t>2022</w:t>
      </w:r>
      <w:r>
        <w:rPr>
          <w:rFonts w:ascii="仿宋" w:eastAsia="仿宋" w:hAnsi="仿宋" w:cs="仿宋_GB2312"/>
          <w:kern w:val="2"/>
          <w:sz w:val="32"/>
          <w:szCs w:val="32"/>
        </w:rPr>
        <w:t>年  月  起施行，原《平阳县人民政府关于印发</w:t>
      </w:r>
      <w:r>
        <w:rPr>
          <w:rFonts w:ascii="仿宋" w:eastAsia="仿宋" w:hAnsi="仿宋" w:cs="仿宋"/>
          <w:kern w:val="2"/>
          <w:sz w:val="32"/>
          <w:szCs w:val="32"/>
        </w:rPr>
        <w:t>&lt;</w:t>
      </w:r>
      <w:r>
        <w:rPr>
          <w:rFonts w:ascii="仿宋" w:eastAsia="仿宋" w:hAnsi="仿宋" w:cs="仿宋_GB2312"/>
          <w:kern w:val="2"/>
          <w:sz w:val="32"/>
          <w:szCs w:val="32"/>
        </w:rPr>
        <w:t>平阳县统规自建项目审批模式及不动产权分割登记暂行办法（修订）</w:t>
      </w:r>
      <w:r>
        <w:rPr>
          <w:rFonts w:ascii="仿宋" w:eastAsia="仿宋" w:hAnsi="仿宋" w:cs="仿宋"/>
          <w:kern w:val="2"/>
          <w:sz w:val="32"/>
          <w:szCs w:val="32"/>
        </w:rPr>
        <w:t>&gt;</w:t>
      </w:r>
      <w:r>
        <w:rPr>
          <w:rFonts w:ascii="仿宋" w:eastAsia="仿宋" w:hAnsi="仿宋" w:cs="仿宋_GB2312"/>
          <w:kern w:val="2"/>
          <w:sz w:val="32"/>
          <w:szCs w:val="32"/>
        </w:rPr>
        <w:t>的通知》予以废止。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CEC" w:rsidRDefault="00DC0CEC" w:rsidP="004319C9">
      <w:pPr>
        <w:spacing w:after="0"/>
      </w:pPr>
      <w:r>
        <w:separator/>
      </w:r>
    </w:p>
  </w:endnote>
  <w:endnote w:type="continuationSeparator" w:id="1">
    <w:p w:rsidR="00DC0CEC" w:rsidRDefault="00DC0CEC" w:rsidP="004319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CEC" w:rsidRDefault="00DC0CEC" w:rsidP="004319C9">
      <w:pPr>
        <w:spacing w:after="0"/>
      </w:pPr>
      <w:r>
        <w:separator/>
      </w:r>
    </w:p>
  </w:footnote>
  <w:footnote w:type="continuationSeparator" w:id="1">
    <w:p w:rsidR="00DC0CEC" w:rsidRDefault="00DC0CEC" w:rsidP="004319C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1506"/>
  </w:hdrShapeDefaults>
  <w:footnotePr>
    <w:footnote w:id="0"/>
    <w:footnote w:id="1"/>
  </w:footnotePr>
  <w:endnotePr>
    <w:endnote w:id="0"/>
    <w:endnote w:id="1"/>
  </w:endnotePr>
  <w:compat>
    <w:useFELayout/>
  </w:compat>
  <w:rsids>
    <w:rsidRoot w:val="00D31D50"/>
    <w:rsid w:val="001F1B66"/>
    <w:rsid w:val="00300729"/>
    <w:rsid w:val="00321343"/>
    <w:rsid w:val="00323B43"/>
    <w:rsid w:val="003D37D8"/>
    <w:rsid w:val="00426133"/>
    <w:rsid w:val="004319C9"/>
    <w:rsid w:val="004358AB"/>
    <w:rsid w:val="00491317"/>
    <w:rsid w:val="005859E5"/>
    <w:rsid w:val="007873AF"/>
    <w:rsid w:val="00791776"/>
    <w:rsid w:val="007A0E94"/>
    <w:rsid w:val="008A036A"/>
    <w:rsid w:val="008A6B85"/>
    <w:rsid w:val="008B7726"/>
    <w:rsid w:val="00951126"/>
    <w:rsid w:val="00CC0224"/>
    <w:rsid w:val="00D31D50"/>
    <w:rsid w:val="00DC0CEC"/>
    <w:rsid w:val="00E43F25"/>
    <w:rsid w:val="00E646D8"/>
    <w:rsid w:val="00E766FB"/>
    <w:rsid w:val="00F66C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19C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319C9"/>
    <w:rPr>
      <w:rFonts w:ascii="Tahoma" w:hAnsi="Tahoma"/>
      <w:sz w:val="18"/>
      <w:szCs w:val="18"/>
    </w:rPr>
  </w:style>
  <w:style w:type="paragraph" w:styleId="a4">
    <w:name w:val="footer"/>
    <w:basedOn w:val="a"/>
    <w:link w:val="Char0"/>
    <w:uiPriority w:val="99"/>
    <w:semiHidden/>
    <w:unhideWhenUsed/>
    <w:rsid w:val="004319C9"/>
    <w:pPr>
      <w:tabs>
        <w:tab w:val="center" w:pos="4153"/>
        <w:tab w:val="right" w:pos="8306"/>
      </w:tabs>
    </w:pPr>
    <w:rPr>
      <w:sz w:val="18"/>
      <w:szCs w:val="18"/>
    </w:rPr>
  </w:style>
  <w:style w:type="character" w:customStyle="1" w:styleId="Char0">
    <w:name w:val="页脚 Char"/>
    <w:basedOn w:val="a0"/>
    <w:link w:val="a4"/>
    <w:uiPriority w:val="99"/>
    <w:semiHidden/>
    <w:rsid w:val="004319C9"/>
    <w:rPr>
      <w:rFonts w:ascii="Tahoma" w:hAnsi="Tahoma"/>
      <w:sz w:val="18"/>
      <w:szCs w:val="18"/>
    </w:rPr>
  </w:style>
  <w:style w:type="paragraph" w:styleId="a5">
    <w:name w:val="Balloon Text"/>
    <w:basedOn w:val="a"/>
    <w:link w:val="Char1"/>
    <w:uiPriority w:val="99"/>
    <w:semiHidden/>
    <w:unhideWhenUsed/>
    <w:rsid w:val="004319C9"/>
    <w:pPr>
      <w:spacing w:after="0"/>
    </w:pPr>
    <w:rPr>
      <w:sz w:val="18"/>
      <w:szCs w:val="18"/>
    </w:rPr>
  </w:style>
  <w:style w:type="character" w:customStyle="1" w:styleId="Char1">
    <w:name w:val="批注框文本 Char"/>
    <w:basedOn w:val="a0"/>
    <w:link w:val="a5"/>
    <w:uiPriority w:val="99"/>
    <w:semiHidden/>
    <w:rsid w:val="004319C9"/>
    <w:rPr>
      <w:rFonts w:ascii="Tahoma" w:hAnsi="Tahoma"/>
      <w:sz w:val="18"/>
      <w:szCs w:val="18"/>
    </w:rPr>
  </w:style>
  <w:style w:type="paragraph" w:styleId="a6">
    <w:name w:val="annotation text"/>
    <w:basedOn w:val="a"/>
    <w:link w:val="Char2"/>
    <w:uiPriority w:val="99"/>
    <w:semiHidden/>
    <w:unhideWhenUsed/>
    <w:rsid w:val="00491317"/>
  </w:style>
  <w:style w:type="character" w:customStyle="1" w:styleId="Char2">
    <w:name w:val="批注文字 Char"/>
    <w:basedOn w:val="a0"/>
    <w:link w:val="a6"/>
    <w:uiPriority w:val="99"/>
    <w:semiHidden/>
    <w:rsid w:val="00491317"/>
    <w:rPr>
      <w:rFonts w:ascii="Tahoma" w:hAnsi="Tahoma"/>
    </w:rPr>
  </w:style>
  <w:style w:type="character" w:styleId="a7">
    <w:name w:val="annotation reference"/>
    <w:basedOn w:val="a0"/>
    <w:uiPriority w:val="99"/>
    <w:semiHidden/>
    <w:unhideWhenUsed/>
    <w:rsid w:val="00491317"/>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微软用户</cp:lastModifiedBy>
  <cp:revision>7</cp:revision>
  <dcterms:created xsi:type="dcterms:W3CDTF">2008-09-11T17:20:00Z</dcterms:created>
  <dcterms:modified xsi:type="dcterms:W3CDTF">2022-07-14T06:44:00Z</dcterms:modified>
</cp:coreProperties>
</file>