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spacing w:line="460" w:lineRule="exact"/>
        <w:rPr>
          <w:rFonts w:ascii="黑体" w:hAnsi="黑体" w:eastAsia="黑体"/>
          <w:spacing w:val="-26"/>
          <w:sz w:val="32"/>
          <w:szCs w:val="32"/>
        </w:rPr>
      </w:pPr>
    </w:p>
    <w:p>
      <w:pPr>
        <w:jc w:val="center"/>
        <w:rPr>
          <w:rFonts w:ascii="宋体" w:hAnsi="宋体"/>
          <w:sz w:val="44"/>
          <w:szCs w:val="44"/>
        </w:rPr>
      </w:pPr>
    </w:p>
    <w:p>
      <w:pPr>
        <w:jc w:val="center"/>
        <w:rPr>
          <w:rFonts w:ascii="宋体" w:hAnsi="宋体"/>
          <w:sz w:val="44"/>
          <w:szCs w:val="44"/>
        </w:rPr>
      </w:pPr>
    </w:p>
    <w:p>
      <w:pPr>
        <w:jc w:val="center"/>
        <w:rPr>
          <w:rFonts w:ascii="Calibri" w:hAnsi="Calibri"/>
          <w:b/>
          <w:bCs/>
          <w:sz w:val="72"/>
          <w:szCs w:val="72"/>
        </w:rPr>
      </w:pPr>
      <w:r>
        <w:rPr>
          <w:rFonts w:hint="eastAsia" w:ascii="Calibri" w:hAnsi="Calibri"/>
          <w:b/>
          <w:bCs/>
          <w:sz w:val="72"/>
          <w:szCs w:val="72"/>
        </w:rPr>
        <w:t>平阳县人民医院</w:t>
      </w:r>
    </w:p>
    <w:p>
      <w:pPr>
        <w:jc w:val="center"/>
        <w:rPr>
          <w:rFonts w:ascii="Calibri" w:hAnsi="Calibri"/>
          <w:b/>
          <w:bCs/>
          <w:sz w:val="72"/>
          <w:szCs w:val="72"/>
        </w:rPr>
      </w:pPr>
      <w:r>
        <w:rPr>
          <w:rFonts w:hint="eastAsia" w:ascii="Calibri" w:hAnsi="Calibri"/>
          <w:b/>
          <w:bCs/>
          <w:sz w:val="72"/>
          <w:szCs w:val="72"/>
        </w:rPr>
        <w:t>中药配方颗粒及相关伴随服务项目</w:t>
      </w:r>
    </w:p>
    <w:p>
      <w:pPr>
        <w:jc w:val="center"/>
        <w:rPr>
          <w:rFonts w:ascii="宋体" w:hAnsi="宋体"/>
          <w:sz w:val="44"/>
          <w:szCs w:val="44"/>
        </w:rPr>
      </w:pPr>
      <w:r>
        <w:rPr>
          <w:rFonts w:hint="eastAsia" w:ascii="宋体" w:hAnsi="宋体"/>
          <w:sz w:val="44"/>
          <w:szCs w:val="44"/>
        </w:rPr>
        <w:t>（项目编号：ZJSF-</w:t>
      </w:r>
      <w:r>
        <w:rPr>
          <w:rFonts w:ascii="宋体" w:hAnsi="宋体"/>
          <w:sz w:val="44"/>
          <w:szCs w:val="44"/>
        </w:rPr>
        <w:t>PYXRMYY</w:t>
      </w:r>
      <w:r>
        <w:rPr>
          <w:rFonts w:hint="eastAsia" w:ascii="宋体" w:hAnsi="宋体"/>
          <w:sz w:val="44"/>
          <w:szCs w:val="44"/>
        </w:rPr>
        <w:t>202401）</w:t>
      </w:r>
    </w:p>
    <w:p>
      <w:pPr>
        <w:adjustRightInd w:val="0"/>
        <w:jc w:val="center"/>
        <w:rPr>
          <w:rFonts w:ascii="宋体" w:hAnsi="宋体"/>
          <w:sz w:val="44"/>
          <w:szCs w:val="44"/>
        </w:rPr>
      </w:pPr>
    </w:p>
    <w:p>
      <w:pPr>
        <w:adjustRightInd w:val="0"/>
        <w:jc w:val="center"/>
        <w:rPr>
          <w:rFonts w:ascii="宋体" w:hAnsi="宋体"/>
          <w:b/>
          <w:sz w:val="84"/>
          <w:szCs w:val="84"/>
        </w:rPr>
      </w:pPr>
    </w:p>
    <w:p>
      <w:pPr>
        <w:adjustRightInd w:val="0"/>
        <w:jc w:val="center"/>
        <w:rPr>
          <w:rFonts w:ascii="宋体" w:hAnsi="宋体"/>
          <w:b/>
          <w:sz w:val="84"/>
          <w:szCs w:val="84"/>
        </w:rPr>
      </w:pPr>
      <w:r>
        <w:rPr>
          <w:rFonts w:hint="eastAsia" w:ascii="宋体" w:hAnsi="宋体"/>
          <w:b/>
          <w:sz w:val="84"/>
          <w:szCs w:val="84"/>
          <w:lang w:val="en-US" w:eastAsia="zh-CN"/>
        </w:rPr>
        <w:t>公开</w:t>
      </w:r>
      <w:bookmarkStart w:id="5" w:name="_GoBack"/>
      <w:bookmarkEnd w:id="5"/>
      <w:r>
        <w:rPr>
          <w:rFonts w:hint="eastAsia" w:ascii="宋体" w:hAnsi="宋体"/>
          <w:b/>
          <w:sz w:val="84"/>
          <w:szCs w:val="84"/>
        </w:rPr>
        <w:t>招标文件</w:t>
      </w:r>
    </w:p>
    <w:p>
      <w:pPr>
        <w:adjustRightInd w:val="0"/>
        <w:jc w:val="center"/>
        <w:rPr>
          <w:rFonts w:ascii="宋体" w:hAnsi="宋体"/>
          <w:b/>
          <w:sz w:val="84"/>
          <w:szCs w:val="84"/>
        </w:rPr>
      </w:pPr>
    </w:p>
    <w:p>
      <w:pPr>
        <w:adjustRightInd w:val="0"/>
        <w:jc w:val="center"/>
        <w:rPr>
          <w:rFonts w:ascii="宋体" w:hAnsi="宋体"/>
          <w:sz w:val="44"/>
          <w:szCs w:val="44"/>
        </w:rPr>
      </w:pPr>
    </w:p>
    <w:p>
      <w:pPr>
        <w:adjustRightInd w:val="0"/>
        <w:jc w:val="center"/>
        <w:rPr>
          <w:rFonts w:ascii="宋体" w:hAnsi="宋体"/>
          <w:sz w:val="44"/>
          <w:szCs w:val="44"/>
        </w:rPr>
      </w:pPr>
    </w:p>
    <w:p>
      <w:pPr>
        <w:adjustRightInd w:val="0"/>
        <w:jc w:val="center"/>
        <w:rPr>
          <w:rFonts w:ascii="宋体" w:hAnsi="宋体"/>
          <w:sz w:val="44"/>
          <w:szCs w:val="44"/>
        </w:rPr>
      </w:pPr>
    </w:p>
    <w:p>
      <w:pPr>
        <w:spacing w:line="360" w:lineRule="auto"/>
        <w:contextualSpacing/>
        <w:jc w:val="center"/>
        <w:rPr>
          <w:rFonts w:ascii="宋体" w:hAnsi="宋体"/>
          <w:sz w:val="44"/>
          <w:szCs w:val="44"/>
        </w:rPr>
      </w:pPr>
      <w:r>
        <w:rPr>
          <w:rFonts w:hint="eastAsia" w:ascii="宋体" w:hAnsi="宋体"/>
          <w:sz w:val="44"/>
          <w:szCs w:val="44"/>
        </w:rPr>
        <w:t>平阳县人民医院</w:t>
      </w:r>
    </w:p>
    <w:p>
      <w:pPr>
        <w:spacing w:line="360" w:lineRule="auto"/>
        <w:contextualSpacing/>
        <w:jc w:val="center"/>
        <w:rPr>
          <w:rFonts w:ascii="宋体" w:hAnsi="宋体"/>
          <w:sz w:val="44"/>
          <w:szCs w:val="44"/>
        </w:rPr>
      </w:pPr>
      <w:r>
        <w:rPr>
          <w:rFonts w:hint="eastAsia" w:ascii="宋体" w:hAnsi="宋体"/>
          <w:sz w:val="44"/>
          <w:szCs w:val="44"/>
        </w:rPr>
        <w:t>浙江社发项目管理有限公司</w:t>
      </w:r>
    </w:p>
    <w:p>
      <w:pPr>
        <w:spacing w:line="360" w:lineRule="auto"/>
        <w:jc w:val="center"/>
        <w:rPr>
          <w:rFonts w:ascii="仿宋_GB2312" w:hAnsi="宋体" w:eastAsia="仿宋_GB2312"/>
          <w:kern w:val="0"/>
          <w:sz w:val="44"/>
          <w:szCs w:val="44"/>
        </w:rPr>
      </w:pPr>
      <w:r>
        <w:rPr>
          <w:rFonts w:hint="eastAsia" w:ascii="仿宋_GB2312" w:hAnsi="宋体" w:eastAsia="仿宋_GB2312"/>
          <w:kern w:val="0"/>
          <w:sz w:val="44"/>
          <w:szCs w:val="44"/>
        </w:rPr>
        <w:t>二〇二四年四月</w:t>
      </w:r>
    </w:p>
    <w:p>
      <w:pPr>
        <w:spacing w:line="360" w:lineRule="auto"/>
        <w:ind w:firstLine="480" w:firstLineChars="200"/>
        <w:rPr>
          <w:rFonts w:ascii="仿宋_GB2312" w:hAnsi="宋体" w:eastAsia="仿宋_GB2312"/>
          <w:kern w:val="0"/>
          <w:sz w:val="24"/>
        </w:rPr>
        <w:sectPr>
          <w:footerReference r:id="rId6" w:type="first"/>
          <w:headerReference r:id="rId3" w:type="default"/>
          <w:headerReference r:id="rId4" w:type="even"/>
          <w:footerReference r:id="rId5" w:type="even"/>
          <w:pgSz w:w="11906" w:h="16838"/>
          <w:pgMar w:top="1440" w:right="1287" w:bottom="1440" w:left="1797" w:header="851" w:footer="992" w:gutter="0"/>
          <w:pgNumType w:start="0"/>
          <w:cols w:space="720" w:num="1"/>
          <w:titlePg/>
          <w:docGrid w:linePitch="312" w:charSpace="0"/>
        </w:sectPr>
      </w:pPr>
    </w:p>
    <w:p>
      <w:pPr>
        <w:pStyle w:val="2"/>
        <w:jc w:val="center"/>
        <w:rPr>
          <w:sz w:val="32"/>
          <w:szCs w:val="32"/>
        </w:rPr>
      </w:pPr>
      <w:r>
        <w:rPr>
          <w:rFonts w:hint="eastAsia"/>
          <w:sz w:val="32"/>
          <w:szCs w:val="32"/>
        </w:rPr>
        <w:t>第一部分</w:t>
      </w:r>
      <w:r>
        <w:rPr>
          <w:sz w:val="32"/>
          <w:szCs w:val="32"/>
        </w:rPr>
        <w:t xml:space="preserve"> </w:t>
      </w:r>
      <w:r>
        <w:rPr>
          <w:rFonts w:hint="eastAsia"/>
          <w:sz w:val="32"/>
          <w:szCs w:val="32"/>
        </w:rPr>
        <w:t>招标公告</w:t>
      </w:r>
    </w:p>
    <w:p>
      <w:pPr>
        <w:spacing w:line="360" w:lineRule="auto"/>
        <w:ind w:firstLine="480" w:firstLineChars="200"/>
        <w:rPr>
          <w:rFonts w:ascii="仿宋_GB2312" w:hAnsi="新宋体" w:eastAsia="仿宋_GB2312"/>
          <w:sz w:val="24"/>
        </w:rPr>
      </w:pPr>
      <w:r>
        <w:rPr>
          <w:rFonts w:hint="eastAsia" w:ascii="仿宋_GB2312" w:hAnsi="宋体" w:eastAsia="仿宋_GB2312"/>
          <w:kern w:val="0"/>
          <w:sz w:val="24"/>
        </w:rPr>
        <w:t>浙江社发项目管理有限公司受平阳县人民医院委托，就平阳县人民医院</w:t>
      </w:r>
      <w:r>
        <w:rPr>
          <w:rFonts w:hint="eastAsia" w:ascii="仿宋_GB2312" w:hAnsi="新宋体" w:eastAsia="仿宋_GB2312" w:cs="Arial"/>
          <w:sz w:val="24"/>
        </w:rPr>
        <w:t>中药配方颗粒及相关伴随服务项目</w:t>
      </w:r>
      <w:r>
        <w:rPr>
          <w:rFonts w:hint="eastAsia" w:ascii="仿宋_GB2312" w:hAnsi="宋体" w:eastAsia="仿宋_GB2312"/>
          <w:kern w:val="0"/>
          <w:sz w:val="24"/>
        </w:rPr>
        <w:t>进行公开招标，</w:t>
      </w:r>
      <w:r>
        <w:rPr>
          <w:rFonts w:hint="eastAsia" w:ascii="仿宋_GB2312" w:hAnsi="新宋体" w:eastAsia="仿宋_GB2312"/>
          <w:sz w:val="24"/>
        </w:rPr>
        <w:t>诚邀国内合格的投标人前来投标，现公告如下：</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一、招标单位：平阳县人民医院</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二、招标编号：ZJSF-PYXRMYY202401</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 xml:space="preserve">三、招标项目概况 </w:t>
      </w:r>
    </w:p>
    <w:tbl>
      <w:tblPr>
        <w:tblStyle w:val="26"/>
        <w:tblW w:w="887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45"/>
        <w:gridCol w:w="3159"/>
        <w:gridCol w:w="1808"/>
        <w:gridCol w:w="18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85" w:hRule="atLeast"/>
        </w:trPr>
        <w:tc>
          <w:tcPr>
            <w:tcW w:w="2045" w:type="dxa"/>
            <w:tcBorders>
              <w:top w:val="single" w:color="000000" w:sz="4" w:space="0"/>
              <w:left w:val="single" w:color="000000" w:sz="4" w:space="0"/>
              <w:bottom w:val="single" w:color="000000" w:sz="4" w:space="0"/>
              <w:right w:val="single" w:color="000000" w:sz="4" w:space="0"/>
              <w:tl2br w:val="nil"/>
            </w:tcBorders>
            <w:shd w:val="clear" w:color="auto" w:fill="FFFFFF"/>
            <w:vAlign w:val="center"/>
          </w:tcPr>
          <w:p>
            <w:pPr>
              <w:widowControl/>
              <w:jc w:val="center"/>
              <w:rPr>
                <w:rFonts w:ascii="仿宋_GB2312" w:hAnsi="宋体" w:eastAsia="仿宋_GB2312"/>
                <w:color w:val="000000"/>
                <w:kern w:val="0"/>
                <w:sz w:val="24"/>
              </w:rPr>
            </w:pPr>
            <w:r>
              <w:rPr>
                <w:rFonts w:hint="eastAsia" w:ascii="仿宋_GB2312" w:hAnsi="宋体" w:eastAsia="仿宋_GB2312"/>
                <w:color w:val="000000"/>
                <w:kern w:val="0"/>
                <w:sz w:val="24"/>
              </w:rPr>
              <w:t>项目内容</w:t>
            </w:r>
          </w:p>
        </w:tc>
        <w:tc>
          <w:tcPr>
            <w:tcW w:w="3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color w:val="000000"/>
                <w:kern w:val="0"/>
                <w:sz w:val="24"/>
              </w:rPr>
            </w:pPr>
            <w:r>
              <w:rPr>
                <w:rFonts w:hint="eastAsia" w:ascii="仿宋_GB2312" w:hAnsi="宋体" w:eastAsia="仿宋_GB2312"/>
                <w:color w:val="000000"/>
                <w:kern w:val="0"/>
                <w:sz w:val="24"/>
              </w:rPr>
              <w:t>描述</w:t>
            </w:r>
          </w:p>
        </w:tc>
        <w:tc>
          <w:tcPr>
            <w:tcW w:w="1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color w:val="000000"/>
                <w:kern w:val="0"/>
                <w:sz w:val="24"/>
              </w:rPr>
            </w:pPr>
            <w:r>
              <w:rPr>
                <w:rFonts w:hint="eastAsia" w:ascii="仿宋_GB2312" w:hAnsi="宋体" w:eastAsia="仿宋_GB2312"/>
                <w:color w:val="000000"/>
                <w:kern w:val="0"/>
                <w:sz w:val="24"/>
              </w:rPr>
              <w:t>预估合同金额</w:t>
            </w:r>
          </w:p>
        </w:tc>
        <w:tc>
          <w:tcPr>
            <w:tcW w:w="1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color w:val="000000"/>
                <w:kern w:val="0"/>
                <w:sz w:val="24"/>
              </w:rPr>
            </w:pPr>
            <w:r>
              <w:rPr>
                <w:rFonts w:hint="eastAsia" w:ascii="仿宋_GB2312" w:hAnsi="宋体" w:eastAsia="仿宋_GB2312"/>
                <w:color w:val="000000"/>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04" w:hRule="atLeast"/>
        </w:trPr>
        <w:tc>
          <w:tcPr>
            <w:tcW w:w="2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rPr>
                <w:rFonts w:ascii="仿宋_GB2312" w:hAnsi="宋体" w:eastAsia="仿宋_GB2312"/>
                <w:color w:val="000000"/>
                <w:kern w:val="0"/>
                <w:sz w:val="24"/>
              </w:rPr>
            </w:pPr>
            <w:r>
              <w:rPr>
                <w:rFonts w:hint="eastAsia" w:ascii="仿宋_GB2312" w:hAnsi="宋体" w:eastAsia="仿宋_GB2312"/>
                <w:color w:val="000000"/>
                <w:kern w:val="0"/>
                <w:sz w:val="24"/>
              </w:rPr>
              <w:t>中药配方颗粒及相关伴随服务</w:t>
            </w:r>
          </w:p>
        </w:tc>
        <w:tc>
          <w:tcPr>
            <w:tcW w:w="3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color w:val="000000"/>
                <w:kern w:val="0"/>
                <w:sz w:val="24"/>
              </w:rPr>
            </w:pPr>
            <w:r>
              <w:rPr>
                <w:rFonts w:hint="eastAsia" w:ascii="仿宋_GB2312" w:hAnsi="宋体" w:eastAsia="仿宋_GB2312"/>
                <w:color w:val="000000"/>
                <w:kern w:val="0"/>
                <w:sz w:val="24"/>
              </w:rPr>
              <w:t>提供符合国家、浙江省统一颁布标准的中药配方颗粒及相关伴随服务</w:t>
            </w:r>
          </w:p>
        </w:tc>
        <w:tc>
          <w:tcPr>
            <w:tcW w:w="18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color w:val="000000"/>
                <w:kern w:val="0"/>
                <w:sz w:val="24"/>
              </w:rPr>
            </w:pPr>
            <w:r>
              <w:rPr>
                <w:rFonts w:hint="eastAsia" w:ascii="仿宋_GB2312" w:hAnsi="宋体" w:eastAsia="仿宋_GB2312"/>
                <w:color w:val="000000"/>
                <w:kern w:val="0"/>
                <w:sz w:val="24"/>
              </w:rPr>
              <w:t>3年配方颗粒预估采购：</w:t>
            </w:r>
            <w:r>
              <w:rPr>
                <w:rFonts w:ascii="仿宋_GB2312" w:hAnsi="宋体" w:eastAsia="仿宋_GB2312"/>
                <w:color w:val="000000"/>
                <w:kern w:val="0"/>
                <w:sz w:val="24"/>
              </w:rPr>
              <w:t xml:space="preserve">    270</w:t>
            </w:r>
            <w:r>
              <w:rPr>
                <w:rFonts w:hint="eastAsia" w:ascii="仿宋_GB2312" w:hAnsi="宋体" w:eastAsia="仿宋_GB2312"/>
                <w:color w:val="000000"/>
                <w:kern w:val="0"/>
                <w:sz w:val="24"/>
              </w:rPr>
              <w:t>万元</w:t>
            </w:r>
          </w:p>
        </w:tc>
        <w:tc>
          <w:tcPr>
            <w:tcW w:w="1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_GB2312" w:hAnsi="宋体" w:eastAsia="仿宋_GB2312"/>
                <w:color w:val="000000"/>
                <w:kern w:val="0"/>
                <w:sz w:val="24"/>
              </w:rPr>
            </w:pPr>
          </w:p>
        </w:tc>
      </w:tr>
    </w:tbl>
    <w:p>
      <w:pPr>
        <w:spacing w:line="360" w:lineRule="auto"/>
        <w:ind w:firstLine="480" w:firstLineChars="200"/>
        <w:contextualSpacing/>
        <w:jc w:val="left"/>
        <w:rPr>
          <w:rFonts w:eastAsia="仿宋_GB2312"/>
        </w:rPr>
      </w:pPr>
      <w:r>
        <w:rPr>
          <w:rFonts w:hint="eastAsia" w:ascii="仿宋_GB2312" w:hAnsi="宋体" w:eastAsia="仿宋_GB2312"/>
          <w:kern w:val="0"/>
          <w:sz w:val="24"/>
        </w:rPr>
        <w:t>★：预估合同金额为估算值，具体数量金额根据医院实际需求确定。</w:t>
      </w:r>
    </w:p>
    <w:p>
      <w:pPr>
        <w:spacing w:line="360" w:lineRule="auto"/>
        <w:ind w:firstLine="477" w:firstLineChars="199"/>
        <w:rPr>
          <w:rFonts w:ascii="仿宋_GB2312" w:hAnsi="宋体" w:eastAsia="仿宋_GB2312"/>
          <w:kern w:val="0"/>
          <w:sz w:val="24"/>
        </w:rPr>
      </w:pPr>
      <w:r>
        <w:rPr>
          <w:rFonts w:hint="eastAsia" w:ascii="仿宋_GB2312" w:hAnsi="宋体" w:eastAsia="仿宋_GB2312"/>
          <w:kern w:val="0"/>
          <w:sz w:val="24"/>
        </w:rPr>
        <w:t>四、合同期限：合同为1+1+1模式，一年合同期满后，招标人对中标者的合同履行等情况进行综合评估，对配方颗粒质量好、履约服务优的，考虑续签合同（一般不超过2次）</w:t>
      </w:r>
      <w:r>
        <w:rPr>
          <w:rFonts w:hint="eastAsia" w:ascii="仿宋_GB2312" w:hAnsi="宋体" w:eastAsia="仿宋_GB2312"/>
          <w:sz w:val="24"/>
        </w:rPr>
        <w:t>。</w:t>
      </w:r>
      <w:r>
        <w:rPr>
          <w:rFonts w:hint="eastAsia" w:ascii="仿宋_GB2312" w:hAnsi="宋体" w:eastAsia="仿宋_GB2312"/>
          <w:kern w:val="0"/>
          <w:sz w:val="24"/>
        </w:rPr>
        <w:t>合同期内，因政府部门调整中药配方颗粒采购有关政策的，从其规定。</w:t>
      </w:r>
    </w:p>
    <w:p>
      <w:pPr>
        <w:tabs>
          <w:tab w:val="left" w:pos="4320"/>
        </w:tabs>
        <w:spacing w:line="360" w:lineRule="auto"/>
        <w:ind w:firstLine="444" w:firstLineChars="185"/>
        <w:rPr>
          <w:rFonts w:ascii="仿宋_GB2312" w:hAnsi="宋体" w:eastAsia="仿宋_GB2312"/>
          <w:kern w:val="0"/>
          <w:sz w:val="24"/>
        </w:rPr>
      </w:pPr>
      <w:r>
        <w:rPr>
          <w:rFonts w:hint="eastAsia" w:ascii="仿宋_GB2312" w:hAnsi="宋体" w:eastAsia="仿宋_GB2312"/>
          <w:kern w:val="0"/>
          <w:sz w:val="24"/>
        </w:rPr>
        <w:t>五、供应商（投标人）资格要求</w:t>
      </w:r>
      <w:r>
        <w:rPr>
          <w:rFonts w:ascii="仿宋_GB2312" w:hAnsi="宋体" w:eastAsia="仿宋_GB2312"/>
          <w:kern w:val="0"/>
          <w:sz w:val="24"/>
        </w:rPr>
        <w:t>:</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1.基本资格要求：</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（1）具有独立承担民事责任的能力；</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（2）具有良好的商业信誉和健全的财务会计制度；</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（3）具有履行合同所必需的设备和专业技术能力；</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（4）有依法缴纳税收和社会保障资金的良好记录；</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（5）参加政府采购活动前三年内，在经营活动中没有重大违法记录。</w:t>
      </w:r>
    </w:p>
    <w:p>
      <w:pPr>
        <w:widowControl/>
        <w:spacing w:line="360" w:lineRule="auto"/>
        <w:ind w:firstLine="480" w:firstLineChars="200"/>
        <w:rPr>
          <w:rFonts w:ascii="仿宋_GB2312" w:hAnsi="宋体" w:eastAsia="仿宋_GB2312"/>
          <w:strike/>
          <w:kern w:val="0"/>
          <w:sz w:val="24"/>
        </w:rPr>
      </w:pPr>
      <w:r>
        <w:rPr>
          <w:rFonts w:hint="eastAsia" w:ascii="仿宋_GB2312" w:hAnsi="宋体" w:eastAsia="仿宋_GB2312"/>
          <w:kern w:val="0"/>
          <w:sz w:val="24"/>
        </w:rPr>
        <w:t>2.投标人中药配方颗粒应按照浙江省药品监督管理部门规定取得相关备案号，或其供应的中药配方颗粒应符合《关于结束中药配方颗粒试点工作的公告》、《关于中药配方颗粒备案工作有关事项通知》文件要求。</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3.依法取得《企业法人营业执照》、《药品生产许可证》，并具有相应生产认证范围。</w:t>
      </w:r>
    </w:p>
    <w:p>
      <w:pPr>
        <w:widowControl/>
        <w:spacing w:line="360" w:lineRule="auto"/>
        <w:ind w:left="210" w:leftChars="100" w:firstLine="240" w:firstLineChars="100"/>
        <w:rPr>
          <w:rFonts w:ascii="仿宋_GB2312" w:hAnsi="宋体" w:eastAsia="仿宋_GB2312"/>
          <w:kern w:val="0"/>
          <w:sz w:val="24"/>
        </w:rPr>
        <w:sectPr>
          <w:footerReference r:id="rId7" w:type="default"/>
          <w:pgSz w:w="11906" w:h="16838"/>
          <w:pgMar w:top="1134" w:right="1134" w:bottom="1134" w:left="1134" w:header="851" w:footer="992" w:gutter="0"/>
          <w:pgNumType w:start="1"/>
          <w:cols w:space="720" w:num="1"/>
          <w:docGrid w:type="lines" w:linePitch="312" w:charSpace="0"/>
        </w:sectPr>
      </w:pPr>
      <w:r>
        <w:rPr>
          <w:rFonts w:hint="eastAsia" w:ascii="仿宋_GB2312" w:hAnsi="宋体" w:eastAsia="仿宋_GB2312"/>
          <w:kern w:val="0"/>
          <w:sz w:val="24"/>
        </w:rPr>
        <w:t>4.投标人必须是符合《中华人民共和国药品管理法》、《药品检查管理办法（试行）》、《中华人民共和国药典》（2020版）、《浙江省中药配方颗粒管理细则》等相关文件与通</w:t>
      </w:r>
    </w:p>
    <w:p>
      <w:pPr>
        <w:widowControl/>
        <w:spacing w:line="360" w:lineRule="auto"/>
        <w:ind w:left="210" w:leftChars="100" w:firstLine="240" w:firstLineChars="100"/>
        <w:rPr>
          <w:rFonts w:ascii="仿宋_GB2312" w:hAnsi="宋体" w:eastAsia="仿宋_GB2312"/>
          <w:kern w:val="0"/>
          <w:sz w:val="24"/>
        </w:rPr>
      </w:pPr>
      <w:r>
        <w:rPr>
          <w:rFonts w:hint="eastAsia" w:ascii="仿宋_GB2312" w:hAnsi="宋体" w:eastAsia="仿宋_GB2312"/>
          <w:kern w:val="0"/>
          <w:sz w:val="24"/>
        </w:rPr>
        <w:t>知要求，能依法生产、经营、资信状况良好的企业。中药配方颗粒有关的法律法规以及质量标准政策有更新的</w:t>
      </w:r>
      <w:r>
        <w:rPr>
          <w:rFonts w:hint="eastAsia" w:ascii="仿宋_GB2312" w:hAnsi="宋体" w:eastAsia="仿宋_GB2312"/>
          <w:bCs/>
          <w:iCs/>
          <w:sz w:val="24"/>
        </w:rPr>
        <w:t>应从其规定</w:t>
      </w:r>
      <w:r>
        <w:rPr>
          <w:rFonts w:hint="eastAsia" w:ascii="仿宋_GB2312" w:hAnsi="宋体" w:eastAsia="仿宋_GB2312"/>
          <w:kern w:val="0"/>
          <w:sz w:val="24"/>
        </w:rPr>
        <w:t>。</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5.截至投标截止日前1日历天17:00（北京时间），投标人未被列入“信用中国”网(www.creditchina.gov.cn)和“中国政府采购网”（www.ccgp.gov.cn）失信被执行人、重大税收违法案件当事人名单、政府采购严重违法失信行为记录名单且尚处于禁止参加政府采购活动期内。</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6.单位负责人为同一人或者存在直接控股、管理关系的不同供应商，不得同时参加同一合同项下的投标。</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六、资格审查方式</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1．资格后审。</w:t>
      </w:r>
    </w:p>
    <w:p>
      <w:pPr>
        <w:widowControl/>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法定代表人授权委托人必须是投标单位职工。需在投标响应文件技术标部分内提供由社保机构出具的该授权代表的社保证明（如该授权代表为离退休返聘人员的，投标响应文件技术标部分内需提供退休证明及单位聘用证明；如由第三方代理社保事项的，则需提供加盖投标人公章的委托代理协议复印件）。</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七、招标文件的获取时间、地点、售价：</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1．获取时间：2024年4月8日至2024年4月29日。</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2．获取方式：公告获取。发送加盖公章的公司资质证件【即企业营业执照(副本)、《药品生产许可证》、公司法定代表人授权书（附授权人及被授权人身份证复印件）、项目登记表</w:t>
      </w:r>
      <w:r>
        <w:rPr>
          <w:rFonts w:ascii="仿宋_GB2312" w:hAnsi="宋体" w:eastAsia="仿宋_GB2312"/>
          <w:kern w:val="0"/>
          <w:sz w:val="24"/>
        </w:rPr>
        <w:t>】</w:t>
      </w:r>
      <w:r>
        <w:rPr>
          <w:rFonts w:hint="eastAsia" w:ascii="仿宋_GB2312" w:hAnsi="宋体" w:eastAsia="仿宋_GB2312"/>
          <w:kern w:val="0"/>
          <w:sz w:val="24"/>
        </w:rPr>
        <w:t>至项目指定邮箱进行登记zjsfxmgl@163.com。本次招标不提供纸质版招标文件。</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3．标书售价(元)：不收费</w:t>
      </w:r>
    </w:p>
    <w:p>
      <w:pPr>
        <w:adjustRightInd w:val="0"/>
        <w:snapToGrid w:val="0"/>
        <w:spacing w:line="360" w:lineRule="auto"/>
        <w:ind w:firstLine="470" w:firstLineChars="196"/>
        <w:rPr>
          <w:rFonts w:ascii="仿宋_GB2312" w:hAnsi="宋体" w:eastAsia="仿宋_GB2312"/>
          <w:kern w:val="0"/>
          <w:sz w:val="24"/>
        </w:rPr>
      </w:pPr>
      <w:r>
        <w:rPr>
          <w:rFonts w:hint="eastAsia" w:ascii="仿宋_GB2312" w:hAnsi="宋体" w:eastAsia="仿宋_GB2312"/>
          <w:kern w:val="0"/>
          <w:sz w:val="24"/>
        </w:rPr>
        <w:t>八、投标截止时间：2024年4月30日09:30（北京时间）</w:t>
      </w:r>
    </w:p>
    <w:p>
      <w:pPr>
        <w:adjustRightInd w:val="0"/>
        <w:snapToGrid w:val="0"/>
        <w:spacing w:line="360" w:lineRule="auto"/>
        <w:ind w:firstLine="470" w:firstLineChars="196"/>
        <w:rPr>
          <w:rFonts w:ascii="仿宋_GB2312" w:hAnsi="宋体" w:eastAsia="仿宋_GB2312"/>
          <w:kern w:val="0"/>
          <w:sz w:val="24"/>
        </w:rPr>
      </w:pPr>
      <w:r>
        <w:rPr>
          <w:rFonts w:hint="eastAsia" w:ascii="仿宋_GB2312" w:hAnsi="宋体" w:eastAsia="仿宋_GB2312"/>
          <w:kern w:val="0"/>
          <w:sz w:val="24"/>
        </w:rPr>
        <w:t>九、投标地址：温州市车站大道473号天和大厦A幢1901室，逾期送达或未按要求密封的投标文件将予以拒收。</w:t>
      </w:r>
    </w:p>
    <w:p>
      <w:pPr>
        <w:adjustRightInd w:val="0"/>
        <w:snapToGrid w:val="0"/>
        <w:spacing w:line="360" w:lineRule="auto"/>
        <w:ind w:firstLine="470" w:firstLineChars="196"/>
        <w:rPr>
          <w:rFonts w:ascii="仿宋_GB2312" w:hAnsi="宋体" w:eastAsia="仿宋_GB2312"/>
          <w:kern w:val="0"/>
          <w:sz w:val="24"/>
        </w:rPr>
      </w:pPr>
      <w:r>
        <w:rPr>
          <w:rFonts w:hint="eastAsia" w:ascii="仿宋_GB2312" w:hAnsi="宋体" w:eastAsia="仿宋_GB2312"/>
          <w:kern w:val="0"/>
          <w:sz w:val="24"/>
        </w:rPr>
        <w:t>十、开标时间：2024年4月30日09:30（北京时间）</w:t>
      </w:r>
    </w:p>
    <w:p>
      <w:pPr>
        <w:spacing w:line="360" w:lineRule="auto"/>
        <w:ind w:firstLine="422" w:firstLineChars="176"/>
        <w:rPr>
          <w:rFonts w:ascii="仿宋_GB2312" w:hAnsi="宋体" w:eastAsia="仿宋_GB2312"/>
          <w:kern w:val="0"/>
          <w:sz w:val="24"/>
        </w:rPr>
      </w:pPr>
      <w:r>
        <w:rPr>
          <w:rFonts w:hint="eastAsia" w:ascii="仿宋_GB2312" w:hAnsi="宋体" w:eastAsia="仿宋_GB2312"/>
          <w:kern w:val="0"/>
          <w:sz w:val="24"/>
        </w:rPr>
        <w:t>十一、开标地址：温州市车站大道473号天和大厦A幢1901室</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十二、其他事项：</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1.供应商认为招标文件、招标过程和中标结果使自己的权益受到损害的，可以在知道或者应知其权益受到损害之日起七个工作日内，针对同一采购程序环节一次性以书面形式向采购组织机构或招标人提出质疑。</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十三、联系方式：</w:t>
      </w:r>
    </w:p>
    <w:p>
      <w:pPr>
        <w:spacing w:line="360" w:lineRule="auto"/>
        <w:ind w:firstLine="480" w:firstLineChars="200"/>
        <w:contextualSpacing/>
        <w:rPr>
          <w:rFonts w:ascii="仿宋_GB2312" w:hAnsi="宋体" w:eastAsia="仿宋_GB2312"/>
          <w:kern w:val="0"/>
          <w:sz w:val="24"/>
        </w:rPr>
      </w:pPr>
      <w:r>
        <w:rPr>
          <w:rFonts w:hint="eastAsia" w:ascii="仿宋_GB2312" w:hAnsi="宋体" w:eastAsia="仿宋_GB2312"/>
          <w:kern w:val="0"/>
          <w:sz w:val="24"/>
        </w:rPr>
        <w:t>采购单位：平阳县人民医院</w:t>
      </w:r>
    </w:p>
    <w:p>
      <w:pPr>
        <w:spacing w:line="360" w:lineRule="auto"/>
        <w:ind w:firstLine="480" w:firstLineChars="200"/>
        <w:contextualSpacing/>
        <w:rPr>
          <w:rFonts w:ascii="仿宋_GB2312" w:hAnsi="宋体" w:eastAsia="仿宋_GB2312"/>
          <w:kern w:val="0"/>
          <w:sz w:val="24"/>
        </w:rPr>
      </w:pPr>
      <w:r>
        <w:rPr>
          <w:rFonts w:hint="eastAsia" w:ascii="仿宋_GB2312" w:hAnsi="宋体" w:eastAsia="仿宋_GB2312"/>
          <w:kern w:val="0"/>
          <w:sz w:val="24"/>
        </w:rPr>
        <w:t>联系地址：浙江省平阳县昆阳镇昆鳌大道555号</w:t>
      </w:r>
    </w:p>
    <w:p>
      <w:pPr>
        <w:spacing w:line="360" w:lineRule="auto"/>
        <w:ind w:firstLine="480" w:firstLineChars="200"/>
        <w:contextualSpacing/>
        <w:rPr>
          <w:rFonts w:ascii="仿宋_GB2312" w:hAnsi="宋体" w:eastAsia="仿宋_GB2312"/>
          <w:kern w:val="0"/>
          <w:sz w:val="24"/>
        </w:rPr>
      </w:pPr>
      <w:r>
        <w:rPr>
          <w:rFonts w:hint="eastAsia" w:ascii="仿宋_GB2312" w:hAnsi="宋体" w:eastAsia="仿宋_GB2312"/>
          <w:kern w:val="0"/>
          <w:sz w:val="24"/>
        </w:rPr>
        <w:t>联系人：缪先生</w:t>
      </w:r>
    </w:p>
    <w:p>
      <w:pPr>
        <w:spacing w:line="360" w:lineRule="auto"/>
        <w:ind w:firstLine="480" w:firstLineChars="200"/>
        <w:contextualSpacing/>
        <w:rPr>
          <w:rFonts w:ascii="仿宋_GB2312" w:hAnsi="宋体" w:eastAsia="仿宋_GB2312"/>
          <w:kern w:val="0"/>
          <w:sz w:val="24"/>
        </w:rPr>
      </w:pPr>
      <w:r>
        <w:rPr>
          <w:rFonts w:hint="eastAsia" w:ascii="仿宋_GB2312" w:hAnsi="宋体" w:eastAsia="仿宋_GB2312"/>
          <w:kern w:val="0"/>
          <w:sz w:val="24"/>
        </w:rPr>
        <w:t>联系电话：0577-63730080</w:t>
      </w:r>
    </w:p>
    <w:p>
      <w:pPr>
        <w:spacing w:line="360" w:lineRule="auto"/>
        <w:ind w:firstLine="480" w:firstLineChars="200"/>
        <w:contextualSpacing/>
        <w:rPr>
          <w:rFonts w:ascii="仿宋_GB2312" w:hAnsi="宋体" w:eastAsia="仿宋_GB2312"/>
          <w:kern w:val="0"/>
          <w:sz w:val="24"/>
        </w:rPr>
      </w:pPr>
      <w:r>
        <w:rPr>
          <w:rFonts w:hint="eastAsia" w:ascii="仿宋_GB2312" w:hAnsi="宋体" w:eastAsia="仿宋_GB2312"/>
          <w:kern w:val="0"/>
          <w:sz w:val="24"/>
        </w:rPr>
        <w:t>代理机构：浙江社发项目管理有限公司</w:t>
      </w:r>
    </w:p>
    <w:p>
      <w:pPr>
        <w:spacing w:line="360" w:lineRule="auto"/>
        <w:ind w:firstLine="480" w:firstLineChars="200"/>
        <w:contextualSpacing/>
        <w:rPr>
          <w:rFonts w:ascii="仿宋_GB2312" w:hAnsi="宋体" w:eastAsia="仿宋_GB2312"/>
          <w:kern w:val="0"/>
          <w:sz w:val="24"/>
        </w:rPr>
      </w:pPr>
      <w:r>
        <w:rPr>
          <w:rFonts w:hint="eastAsia" w:ascii="仿宋_GB2312" w:hAnsi="宋体" w:eastAsia="仿宋_GB2312"/>
          <w:kern w:val="0"/>
          <w:sz w:val="24"/>
        </w:rPr>
        <w:t>联系地址： 温州市车站大道473号天和大厦A幢1901室</w:t>
      </w:r>
    </w:p>
    <w:p>
      <w:pPr>
        <w:spacing w:line="360" w:lineRule="auto"/>
        <w:ind w:firstLine="480" w:firstLineChars="200"/>
        <w:contextualSpacing/>
        <w:rPr>
          <w:rFonts w:ascii="仿宋_GB2312" w:hAnsi="宋体" w:eastAsia="仿宋_GB2312"/>
          <w:kern w:val="0"/>
          <w:sz w:val="24"/>
        </w:rPr>
      </w:pPr>
      <w:r>
        <w:rPr>
          <w:rFonts w:hint="eastAsia" w:ascii="仿宋_GB2312" w:hAnsi="宋体" w:eastAsia="仿宋_GB2312"/>
          <w:kern w:val="0"/>
          <w:sz w:val="24"/>
        </w:rPr>
        <w:t>联系人： 蔡先生</w:t>
      </w:r>
    </w:p>
    <w:p>
      <w:pPr>
        <w:spacing w:line="360" w:lineRule="auto"/>
        <w:ind w:firstLine="480" w:firstLineChars="200"/>
        <w:contextualSpacing/>
        <w:rPr>
          <w:rFonts w:ascii="仿宋_GB2312" w:hAnsi="宋体" w:eastAsia="仿宋_GB2312"/>
          <w:kern w:val="0"/>
          <w:sz w:val="24"/>
        </w:rPr>
      </w:pPr>
      <w:r>
        <w:rPr>
          <w:rFonts w:hint="eastAsia" w:ascii="仿宋_GB2312" w:hAnsi="宋体" w:eastAsia="仿宋_GB2312"/>
          <w:kern w:val="0"/>
          <w:sz w:val="24"/>
        </w:rPr>
        <w:t>联系电话：0577-88980211</w:t>
      </w:r>
    </w:p>
    <w:p>
      <w:pPr>
        <w:spacing w:line="360" w:lineRule="auto"/>
        <w:ind w:firstLine="480" w:firstLineChars="200"/>
        <w:contextualSpacing/>
        <w:rPr>
          <w:rFonts w:ascii="仿宋_GB2312" w:hAnsi="宋体" w:eastAsia="仿宋_GB2312"/>
          <w:kern w:val="0"/>
          <w:sz w:val="24"/>
        </w:rPr>
      </w:pPr>
      <w:r>
        <w:rPr>
          <w:rFonts w:hint="eastAsia" w:ascii="仿宋_GB2312" w:hAnsi="宋体" w:eastAsia="仿宋_GB2312"/>
          <w:kern w:val="0"/>
          <w:sz w:val="24"/>
        </w:rPr>
        <w:t xml:space="preserve">采购监督管理部门名称：平阳县卫生健康局  </w:t>
      </w:r>
    </w:p>
    <w:p>
      <w:pPr>
        <w:spacing w:line="360" w:lineRule="auto"/>
        <w:ind w:firstLine="480" w:firstLineChars="200"/>
        <w:contextualSpacing/>
        <w:rPr>
          <w:rFonts w:ascii="仿宋_GB2312" w:hAnsi="宋体" w:eastAsia="仿宋_GB2312"/>
          <w:kern w:val="0"/>
          <w:sz w:val="24"/>
        </w:rPr>
      </w:pPr>
      <w:r>
        <w:rPr>
          <w:rFonts w:hint="eastAsia" w:ascii="仿宋_GB2312" w:hAnsi="宋体" w:eastAsia="仿宋_GB2312"/>
          <w:kern w:val="0"/>
          <w:sz w:val="24"/>
        </w:rPr>
        <w:t>联系电话：0577-58111304</w:t>
      </w:r>
    </w:p>
    <w:p>
      <w:pPr>
        <w:spacing w:line="360" w:lineRule="auto"/>
        <w:ind w:firstLine="6240" w:firstLineChars="2600"/>
        <w:jc w:val="right"/>
        <w:rPr>
          <w:rFonts w:ascii="仿宋_GB2312" w:hAnsi="宋体" w:eastAsia="仿宋_GB2312"/>
          <w:kern w:val="0"/>
          <w:sz w:val="24"/>
        </w:rPr>
      </w:pPr>
      <w:r>
        <w:rPr>
          <w:rFonts w:hint="eastAsia" w:ascii="仿宋_GB2312" w:hAnsi="宋体" w:eastAsia="仿宋_GB2312"/>
          <w:kern w:val="0"/>
          <w:sz w:val="24"/>
        </w:rPr>
        <w:t>平阳县人民医院</w:t>
      </w:r>
    </w:p>
    <w:p>
      <w:pPr>
        <w:spacing w:line="360" w:lineRule="auto"/>
        <w:ind w:firstLine="5244" w:firstLineChars="2185"/>
        <w:jc w:val="right"/>
        <w:rPr>
          <w:rFonts w:ascii="仿宋_GB2312" w:hAnsi="宋体" w:eastAsia="仿宋_GB2312"/>
          <w:kern w:val="0"/>
          <w:sz w:val="24"/>
        </w:rPr>
      </w:pPr>
      <w:r>
        <w:rPr>
          <w:rFonts w:hint="eastAsia" w:ascii="仿宋_GB2312" w:hAnsi="宋体" w:eastAsia="仿宋_GB2312"/>
          <w:kern w:val="0"/>
          <w:sz w:val="24"/>
        </w:rPr>
        <w:t>浙江社发项目管理有限公司</w:t>
      </w:r>
    </w:p>
    <w:p>
      <w:pPr>
        <w:spacing w:line="360" w:lineRule="auto"/>
        <w:ind w:firstLine="600" w:firstLineChars="250"/>
        <w:jc w:val="right"/>
        <w:rPr>
          <w:rFonts w:ascii="仿宋_GB2312" w:hAnsi="宋体" w:eastAsia="仿宋_GB2312"/>
          <w:kern w:val="0"/>
          <w:sz w:val="24"/>
        </w:rPr>
      </w:pPr>
      <w:r>
        <w:rPr>
          <w:rFonts w:hint="eastAsia" w:ascii="仿宋_GB2312" w:hAnsi="宋体" w:eastAsia="仿宋_GB2312"/>
          <w:kern w:val="0"/>
          <w:sz w:val="24"/>
        </w:rPr>
        <w:t>2024年4月8日</w:t>
      </w:r>
    </w:p>
    <w:p>
      <w:pPr>
        <w:spacing w:line="360" w:lineRule="auto"/>
        <w:rPr>
          <w:rFonts w:ascii="仿宋_GB2312" w:hAnsi="宋体" w:eastAsia="仿宋_GB2312"/>
          <w:kern w:val="0"/>
          <w:sz w:val="24"/>
        </w:rPr>
      </w:pPr>
      <w:r>
        <w:rPr>
          <w:rFonts w:ascii="仿宋_GB2312" w:hAnsi="宋体" w:eastAsia="仿宋_GB2312"/>
          <w:kern w:val="0"/>
          <w:sz w:val="24"/>
        </w:rPr>
        <w:br w:type="page"/>
      </w:r>
    </w:p>
    <w:p>
      <w:pPr>
        <w:pStyle w:val="2"/>
        <w:jc w:val="center"/>
        <w:rPr>
          <w:sz w:val="32"/>
          <w:szCs w:val="32"/>
        </w:rPr>
      </w:pPr>
      <w:bookmarkStart w:id="0" w:name="药品集中招标（议价）采购工作流程图"/>
      <w:r>
        <w:rPr>
          <w:rFonts w:hint="eastAsia"/>
          <w:sz w:val="32"/>
          <w:szCs w:val="32"/>
        </w:rPr>
        <w:t>第二部分  招标采购工作流程图</w:t>
      </w:r>
    </w:p>
    <w:bookmarkEnd w:id="0"/>
    <w:p>
      <w:pPr>
        <w:ind w:left="283" w:leftChars="135"/>
        <w:jc w:val="center"/>
        <w:rPr>
          <w:rFonts w:ascii="仿宋_GB2312" w:hAnsi="宋体" w:eastAsia="仿宋_GB2312"/>
          <w:kern w:val="0"/>
          <w:sz w:val="24"/>
        </w:rPr>
      </w:pPr>
    </w:p>
    <w:p>
      <w:pPr>
        <w:jc w:val="center"/>
        <w:rPr>
          <w:rFonts w:ascii="仿宋_GB2312" w:hAnsi="宋体" w:eastAsia="仿宋_GB2312"/>
          <w:kern w:val="0"/>
          <w:sz w:val="24"/>
        </w:rPr>
      </w:pPr>
      <w:r>
        <w:rPr>
          <w:rFonts w:hint="eastAsia" w:ascii="仿宋_GB2312" w:hAnsi="宋体" w:eastAsia="仿宋_GB2312"/>
          <w:kern w:val="0"/>
          <w:sz w:val="24"/>
        </w:rPr>
        <mc:AlternateContent>
          <mc:Choice Requires="wps">
            <w:drawing>
              <wp:anchor distT="0" distB="0" distL="114300" distR="114300" simplePos="0" relativeHeight="251679744" behindDoc="0" locked="0" layoutInCell="1" allowOverlap="1">
                <wp:simplePos x="0" y="0"/>
                <wp:positionH relativeFrom="column">
                  <wp:posOffset>1550670</wp:posOffset>
                </wp:positionH>
                <wp:positionV relativeFrom="paragraph">
                  <wp:posOffset>111760</wp:posOffset>
                </wp:positionV>
                <wp:extent cx="2171700" cy="295910"/>
                <wp:effectExtent l="0" t="0" r="0" b="8890"/>
                <wp:wrapNone/>
                <wp:docPr id="38" name="矩形 38"/>
                <wp:cNvGraphicFramePr/>
                <a:graphic xmlns:a="http://schemas.openxmlformats.org/drawingml/2006/main">
                  <a:graphicData uri="http://schemas.microsoft.com/office/word/2010/wordprocessingShape">
                    <wps:wsp>
                      <wps:cNvSpPr>
                        <a:spLocks noChangeArrowheads="1"/>
                      </wps:cNvSpPr>
                      <wps:spPr bwMode="auto">
                        <a:xfrm>
                          <a:off x="0" y="0"/>
                          <a:ext cx="2171700" cy="295910"/>
                        </a:xfrm>
                        <a:prstGeom prst="rect">
                          <a:avLst/>
                        </a:prstGeom>
                        <a:solidFill>
                          <a:srgbClr val="FFFFFF"/>
                        </a:solidFill>
                        <a:ln w="9525">
                          <a:solidFill>
                            <a:srgbClr val="000000"/>
                          </a:solidFill>
                          <a:miter lim="800000"/>
                        </a:ln>
                      </wps:spPr>
                      <wps:txbx>
                        <w:txbxContent>
                          <w:p>
                            <w:pPr>
                              <w:pStyle w:val="17"/>
                              <w:pBdr>
                                <w:bottom w:val="none" w:color="auto" w:sz="0" w:space="0"/>
                              </w:pBdr>
                              <w:tabs>
                                <w:tab w:val="clear" w:pos="4153"/>
                                <w:tab w:val="clear" w:pos="8306"/>
                              </w:tabs>
                              <w:snapToGrid/>
                            </w:pPr>
                            <w:r>
                              <w:rPr>
                                <w:rFonts w:hint="eastAsia"/>
                              </w:rPr>
                              <w:t>发布招标公告、获取招标文件及澄清</w:t>
                            </w:r>
                          </w:p>
                          <w:p>
                            <w:pPr>
                              <w:jc w:val="center"/>
                              <w:rPr>
                                <w:sz w:val="18"/>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2.1pt;margin-top:8.8pt;height:23.3pt;width:171pt;z-index:251679744;mso-width-relative:page;mso-height-relative:page;" fillcolor="#FFFFFF" filled="t" stroked="t" coordsize="21600,21600" o:gfxdata="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vFnzjWAAAACQEAAA8AAAAAAAAAAQAgAAAAIgAAAGRycy9kb3du&#10;cmV2LnhtbFBLAQIUABQAAAAIAIdO4kBfMUn7OgIAAHwEAAAOAAAAAAAAAAEAIAAAACUBAABkcnMv&#10;ZTJvRG9jLnhtbFBLBQYAAAAABgAGAFkBAADRBQAAAAA=&#10;">
                <v:fill on="t" focussize="0,0"/>
                <v:stroke color="#000000" miterlimit="8" joinstyle="miter"/>
                <v:imagedata o:title=""/>
                <o:lock v:ext="edit" aspectratio="f"/>
                <v:textbox>
                  <w:txbxContent>
                    <w:p>
                      <w:pPr>
                        <w:pStyle w:val="17"/>
                        <w:pBdr>
                          <w:bottom w:val="none" w:color="auto" w:sz="0" w:space="0"/>
                        </w:pBdr>
                        <w:tabs>
                          <w:tab w:val="clear" w:pos="4153"/>
                          <w:tab w:val="clear" w:pos="8306"/>
                        </w:tabs>
                        <w:snapToGrid/>
                      </w:pPr>
                      <w:r>
                        <w:rPr>
                          <w:rFonts w:hint="eastAsia"/>
                        </w:rPr>
                        <w:t>发布招标公告、获取招标文件及澄清</w:t>
                      </w:r>
                    </w:p>
                    <w:p>
                      <w:pPr>
                        <w:jc w:val="center"/>
                        <w:rPr>
                          <w:sz w:val="18"/>
                        </w:rPr>
                      </w:pPr>
                    </w:p>
                  </w:txbxContent>
                </v:textbox>
              </v:rect>
            </w:pict>
          </mc:Fallback>
        </mc:AlternateContent>
      </w:r>
    </w:p>
    <w:p>
      <w:pPr>
        <w:tabs>
          <w:tab w:val="left" w:pos="6000"/>
        </w:tabs>
        <w:rPr>
          <w:rFonts w:ascii="仿宋_GB2312" w:hAnsi="宋体" w:eastAsia="仿宋_GB2312"/>
          <w:kern w:val="0"/>
          <w:sz w:val="24"/>
        </w:rPr>
      </w:pPr>
      <w:r>
        <w:rPr>
          <w:rFonts w:hint="eastAsia" w:ascii="仿宋_GB2312" w:hAnsi="宋体" w:eastAsia="仿宋_GB2312"/>
          <w:kern w:val="0"/>
          <w:sz w:val="24"/>
        </w:rPr>
        <mc:AlternateContent>
          <mc:Choice Requires="wps">
            <w:drawing>
              <wp:anchor distT="0" distB="0" distL="113030" distR="113030" simplePos="0" relativeHeight="251667456" behindDoc="0" locked="0" layoutInCell="1" allowOverlap="1">
                <wp:simplePos x="0" y="0"/>
                <wp:positionH relativeFrom="column">
                  <wp:posOffset>5228590</wp:posOffset>
                </wp:positionH>
                <wp:positionV relativeFrom="paragraph">
                  <wp:posOffset>66675</wp:posOffset>
                </wp:positionV>
                <wp:extent cx="0" cy="2468880"/>
                <wp:effectExtent l="38100" t="0" r="38100" b="45720"/>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a:off x="0" y="0"/>
                          <a:ext cx="0" cy="2468880"/>
                        </a:xfrm>
                        <a:prstGeom prst="line">
                          <a:avLst/>
                        </a:prstGeom>
                        <a:noFill/>
                        <a:ln w="25400">
                          <a:solidFill>
                            <a:srgbClr val="000000"/>
                          </a:solidFill>
                          <a:round/>
                          <a:tailEnd type="triangle" w="sm" len="lg"/>
                        </a:ln>
                      </wps:spPr>
                      <wps:bodyPr/>
                    </wps:wsp>
                  </a:graphicData>
                </a:graphic>
              </wp:anchor>
            </w:drawing>
          </mc:Choice>
          <mc:Fallback>
            <w:pict>
              <v:line id="_x0000_s1026" o:spid="_x0000_s1026" o:spt="20" style="position:absolute;left:0pt;margin-left:411.7pt;margin-top:5.25pt;height:194.4pt;width:0pt;z-index:251667456;mso-width-relative:page;mso-height-relative:page;" filled="f" stroked="t" coordsize="21600,21600" o:gfxdata="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BB4WNkAAAAKAQAADwAAAAAAAAABACAAAAAiAAAAZHJzL2Rvd25y&#10;ZXYueG1sUEsBAhQAFAAAAAgAh07iQHiXM+b9AQAA2QMAAA4AAAAAAAAAAQAgAAAAKAEAAGRycy9l&#10;Mm9Eb2MueG1sUEsFBgAAAAAGAAYAWQEAAJcFAAAAAA==&#10;">
                <v:fill on="f" focussize="0,0"/>
                <v:stroke weight="2pt" color="#000000" joinstyle="round" endarrow="block" endarrowwidth="narrow" endarrowlength="long"/>
                <v:imagedata o:title=""/>
                <o:lock v:ext="edit" aspectratio="f"/>
              </v:line>
            </w:pict>
          </mc:Fallback>
        </mc:AlternateContent>
      </w:r>
      <w:r>
        <w:rPr>
          <w:rFonts w:hint="eastAsia" w:ascii="仿宋_GB2312" w:hAnsi="宋体" w:eastAsia="仿宋_GB2312"/>
          <w:kern w:val="0"/>
          <w:sz w:val="24"/>
        </w:rPr>
        <mc:AlternateContent>
          <mc:Choice Requires="wps">
            <w:drawing>
              <wp:anchor distT="0" distB="0" distL="114300" distR="114300" simplePos="0" relativeHeight="251664384" behindDoc="0" locked="0" layoutInCell="1" allowOverlap="1">
                <wp:simplePos x="0" y="0"/>
                <wp:positionH relativeFrom="column">
                  <wp:posOffset>3724275</wp:posOffset>
                </wp:positionH>
                <wp:positionV relativeFrom="paragraph">
                  <wp:posOffset>66040</wp:posOffset>
                </wp:positionV>
                <wp:extent cx="1504950" cy="0"/>
                <wp:effectExtent l="0" t="0" r="0" b="0"/>
                <wp:wrapNone/>
                <wp:docPr id="30" name="直接连接符 30"/>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25400">
                          <a:solidFill>
                            <a:srgbClr val="000000"/>
                          </a:solidFill>
                          <a:round/>
                        </a:ln>
                      </wps:spPr>
                      <wps:bodyPr/>
                    </wps:wsp>
                  </a:graphicData>
                </a:graphic>
              </wp:anchor>
            </w:drawing>
          </mc:Choice>
          <mc:Fallback>
            <w:pict>
              <v:line id="_x0000_s1026" o:spid="_x0000_s1026" o:spt="20" style="position:absolute;left:0pt;margin-left:293.25pt;margin-top:5.2pt;height:0pt;width:118.5pt;z-index:251664384;mso-width-relative:page;mso-height-relative:page;" filled="f" stroked="t" coordsize="21600,21600" o:gfxdata="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el6gtYAAAAJ&#10;AQAADwAAAAAAAAABACAAAAAiAAAAZHJzL2Rvd25yZXYueG1sUEsBAhQAFAAAAAgAh07iQDOIn+3l&#10;AQAArQMAAA4AAAAAAAAAAQAgAAAAJQEAAGRycy9lMm9Eb2MueG1sUEsFBgAAAAAGAAYAWQEAAHwF&#10;AAAAAA==&#10;">
                <v:fill on="f" focussize="0,0"/>
                <v:stroke weight="2pt" color="#000000" joinstyle="round"/>
                <v:imagedata o:title=""/>
                <o:lock v:ext="edit" aspectratio="f"/>
              </v:line>
            </w:pict>
          </mc:Fallback>
        </mc:AlternateContent>
      </w:r>
      <w:r>
        <w:rPr>
          <w:rFonts w:hint="eastAsia" w:ascii="仿宋_GB2312" w:hAnsi="宋体" w:eastAsia="仿宋_GB2312"/>
          <w:kern w:val="0"/>
          <w:sz w:val="24"/>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54610</wp:posOffset>
                </wp:positionV>
                <wp:extent cx="1552575" cy="0"/>
                <wp:effectExtent l="0" t="0" r="0" b="0"/>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25400">
                          <a:solidFill>
                            <a:srgbClr val="000000"/>
                          </a:solidFill>
                          <a:round/>
                        </a:ln>
                      </wps:spPr>
                      <wps:bodyPr/>
                    </wps:wsp>
                  </a:graphicData>
                </a:graphic>
              </wp:anchor>
            </w:drawing>
          </mc:Choice>
          <mc:Fallback>
            <w:pict>
              <v:line id="_x0000_s1026" o:spid="_x0000_s1026" o:spt="20" style="position:absolute;left:0pt;margin-left:0pt;margin-top:4.3pt;height:0pt;width:122.25pt;z-index:251668480;mso-width-relative:page;mso-height-relative:page;" filled="f" stroked="t" coordsize="21600,21600" o:gfxdata="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BR6gHTAAAABAEA&#10;AA8AAAAAAAAAAQAgAAAAIgAAAGRycy9kb3ducmV2LnhtbFBLAQIUABQAAAAIAIdO4kD6/fIC5gEA&#10;AK0DAAAOAAAAAAAAAAEAIAAAACIBAABkcnMvZTJvRG9jLnhtbFBLBQYAAAAABgAGAFkBAAB6BQAA&#10;AAA=&#10;">
                <v:fill on="f" focussize="0,0"/>
                <v:stroke weight="2pt" color="#000000" joinstyle="round"/>
                <v:imagedata o:title=""/>
                <o:lock v:ext="edit" aspectratio="f"/>
              </v:line>
            </w:pict>
          </mc:Fallback>
        </mc:AlternateContent>
      </w:r>
      <w:r>
        <w:rPr>
          <w:rFonts w:hint="eastAsia" w:ascii="仿宋_GB2312" w:hAnsi="宋体" w:eastAsia="仿宋_GB2312"/>
          <w:kern w:val="0"/>
          <w:sz w:val="24"/>
        </w:rPr>
        <mc:AlternateContent>
          <mc:Choice Requires="wps">
            <w:drawing>
              <wp:anchor distT="0" distB="0" distL="113030" distR="113030" simplePos="0" relativeHeight="251659264" behindDoc="1" locked="0" layoutInCell="1" allowOverlap="1">
                <wp:simplePos x="0" y="0"/>
                <wp:positionH relativeFrom="column">
                  <wp:posOffset>0</wp:posOffset>
                </wp:positionH>
                <wp:positionV relativeFrom="paragraph">
                  <wp:posOffset>7620</wp:posOffset>
                </wp:positionV>
                <wp:extent cx="0" cy="7330440"/>
                <wp:effectExtent l="0" t="0" r="0" b="3810"/>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0" cy="7330440"/>
                        </a:xfrm>
                        <a:prstGeom prst="line">
                          <a:avLst/>
                        </a:prstGeom>
                        <a:noFill/>
                        <a:ln w="25400">
                          <a:solidFill>
                            <a:srgbClr val="000000"/>
                          </a:solidFill>
                          <a:prstDash val="sysDot"/>
                          <a:round/>
                        </a:ln>
                      </wps:spPr>
                      <wps:bodyPr/>
                    </wps:wsp>
                  </a:graphicData>
                </a:graphic>
              </wp:anchor>
            </w:drawing>
          </mc:Choice>
          <mc:Fallback>
            <w:pict>
              <v:line id="_x0000_s1026" o:spid="_x0000_s1026" o:spt="20" style="position:absolute;left:0pt;margin-left:0pt;margin-top:0.6pt;height:577.2pt;width:0pt;z-index:-251657216;mso-width-relative:page;mso-height-relative:page;" filled="f" stroked="t" coordsize="21600,21600" o:gfxdata="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j5GH9MAAAAEAQAADwAAAAAAAAABACAAAAAiAAAAZHJzL2Rvd25yZXYueG1sUEsBAhQAFAAAAAgA&#10;h07iQIgLmKHxAQAAxwMAAA4AAAAAAAAAAQAgAAAAIgEAAGRycy9lMm9Eb2MueG1sUEsFBgAAAAAG&#10;AAYAWQEAAIUFAAAAAA==&#10;">
                <v:fill on="f" focussize="0,0"/>
                <v:stroke weight="2pt" color="#000000" joinstyle="round" dashstyle="1 1"/>
                <v:imagedata o:title=""/>
                <o:lock v:ext="edit" aspectratio="f"/>
              </v:line>
            </w:pict>
          </mc:Fallback>
        </mc:AlternateContent>
      </w:r>
    </w:p>
    <w:p>
      <w:pPr>
        <w:tabs>
          <w:tab w:val="left" w:pos="6000"/>
        </w:tabs>
        <w:rPr>
          <w:rFonts w:ascii="仿宋_GB2312" w:hAnsi="宋体" w:eastAsia="仿宋_GB2312"/>
          <w:kern w:val="0"/>
          <w:sz w:val="24"/>
        </w:rPr>
      </w:pPr>
      <w:r>
        <w:rPr>
          <w:rFonts w:hint="eastAsia" w:ascii="仿宋_GB2312" w:hAnsi="宋体" w:eastAsia="仿宋_GB2312"/>
          <w:kern w:val="0"/>
          <w:sz w:val="24"/>
        </w:rPr>
        <mc:AlternateContent>
          <mc:Choice Requires="wps">
            <w:drawing>
              <wp:anchor distT="0" distB="0" distL="113030" distR="113030" simplePos="0" relativeHeight="251663360" behindDoc="0" locked="0" layoutInCell="1" allowOverlap="1">
                <wp:simplePos x="0" y="0"/>
                <wp:positionH relativeFrom="column">
                  <wp:posOffset>2618740</wp:posOffset>
                </wp:positionH>
                <wp:positionV relativeFrom="paragraph">
                  <wp:posOffset>78105</wp:posOffset>
                </wp:positionV>
                <wp:extent cx="0" cy="4152900"/>
                <wp:effectExtent l="76200" t="0" r="38100" b="38100"/>
                <wp:wrapNone/>
                <wp:docPr id="29" name="直接连接符 29"/>
                <wp:cNvGraphicFramePr/>
                <a:graphic xmlns:a="http://schemas.openxmlformats.org/drawingml/2006/main">
                  <a:graphicData uri="http://schemas.microsoft.com/office/word/2010/wordprocessingShape">
                    <wps:wsp>
                      <wps:cNvCnPr>
                        <a:cxnSpLocks noChangeShapeType="1"/>
                      </wps:cNvCnPr>
                      <wps:spPr bwMode="auto">
                        <a:xfrm>
                          <a:off x="0" y="0"/>
                          <a:ext cx="0" cy="415290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06.2pt;margin-top:6.15pt;height:327pt;width:0pt;z-index:251663360;mso-width-relative:page;mso-height-relative:page;" filled="f" stroked="t" coordsize="21600,21600" o:gfxdata="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XL/Ze2QAAAAoBAAAPAAAAAAAAAAEAIAAAACIAAABkcnMvZG93&#10;bnJldi54bWxQSwECFAAUAAAACACHTuJAUKksqP8BAADaAwAADgAAAAAAAAABACAAAAAoAQAAZHJz&#10;L2Uyb0RvYy54bWxQSwUGAAAAAAYABgBZAQAAmQUAAAAA&#10;">
                <v:fill on="f" focussize="0,0"/>
                <v:stroke color="#000000" joinstyle="round" endarrow="block"/>
                <v:imagedata o:title=""/>
                <o:lock v:ext="edit" aspectratio="f"/>
              </v:line>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hint="eastAsia" w:ascii="仿宋_GB2312" w:hAnsi="宋体" w:eastAsia="仿宋_GB2312"/>
          <w:kern w:val="0"/>
          <w:sz w:val="24"/>
        </w:rPr>
        <mc:AlternateContent>
          <mc:Choice Requires="wps">
            <w:drawing>
              <wp:anchor distT="0" distB="0" distL="114300" distR="114300" simplePos="0" relativeHeight="251676672" behindDoc="0" locked="0" layoutInCell="1" allowOverlap="1">
                <wp:simplePos x="0" y="0"/>
                <wp:positionH relativeFrom="column">
                  <wp:posOffset>1531620</wp:posOffset>
                </wp:positionH>
                <wp:positionV relativeFrom="paragraph">
                  <wp:posOffset>23495</wp:posOffset>
                </wp:positionV>
                <wp:extent cx="2171700" cy="297180"/>
                <wp:effectExtent l="0" t="0" r="0" b="7620"/>
                <wp:wrapNone/>
                <wp:docPr id="34" name="矩形 34"/>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9525">
                          <a:solidFill>
                            <a:srgbClr val="000000"/>
                          </a:solidFill>
                          <a:miter lim="800000"/>
                        </a:ln>
                      </wps:spPr>
                      <wps:txbx>
                        <w:txbxContent>
                          <w:p>
                            <w:pPr>
                              <w:jc w:val="center"/>
                              <w:rPr>
                                <w:sz w:val="18"/>
                              </w:rPr>
                            </w:pPr>
                            <w:r>
                              <w:rPr>
                                <w:rFonts w:hint="eastAsia"/>
                                <w:sz w:val="18"/>
                              </w:rPr>
                              <w:t>投标人报名</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0.6pt;margin-top:1.85pt;height:23.4pt;width:171pt;z-index:251676672;mso-width-relative:page;mso-height-relative:page;" fillcolor="#FFFFFF" filled="t" stroked="t" coordsize="21600,21600" o:gfxdata="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GEmYE1gAAAAgBAAAPAAAAAAAAAAEAIAAAACIAAABkcnMvZG93&#10;bnJldi54bWxQSwECFAAUAAAACACHTuJAWYjltDsCAAB8BAAADgAAAAAAAAABACAAAAAlAQAAZHJz&#10;L2Uyb0RvYy54bWxQSwUGAAAAAAYABgBZAQAA0gUAAAAA&#10;">
                <v:fill on="t" focussize="0,0"/>
                <v:stroke color="#000000" miterlimit="8" joinstyle="miter"/>
                <v:imagedata o:title=""/>
                <o:lock v:ext="edit" aspectratio="f"/>
                <v:textbox>
                  <w:txbxContent>
                    <w:p>
                      <w:pPr>
                        <w:jc w:val="center"/>
                        <w:rPr>
                          <w:sz w:val="18"/>
                        </w:rPr>
                      </w:pPr>
                      <w:r>
                        <w:rPr>
                          <w:rFonts w:hint="eastAsia"/>
                          <w:sz w:val="18"/>
                        </w:rPr>
                        <w:t>投标人报名</w:t>
                      </w:r>
                    </w:p>
                  </w:txbxContent>
                </v:textbox>
              </v:rect>
            </w:pict>
          </mc:Fallback>
        </mc:AlternateContent>
      </w:r>
      <w:r>
        <w:rPr>
          <w:rFonts w:hint="eastAsia" w:ascii="仿宋_GB2312" w:hAnsi="宋体" w:eastAsia="仿宋_GB2312"/>
          <w:kern w:val="0"/>
          <w:sz w:val="24"/>
        </w:rPr>
        <mc:AlternateContent>
          <mc:Choice Requires="wps">
            <w:drawing>
              <wp:anchor distT="0" distB="0" distL="114300" distR="114300" simplePos="0" relativeHeight="251672576" behindDoc="0" locked="0" layoutInCell="1" allowOverlap="1">
                <wp:simplePos x="0" y="0"/>
                <wp:positionH relativeFrom="column">
                  <wp:posOffset>-180975</wp:posOffset>
                </wp:positionH>
                <wp:positionV relativeFrom="paragraph">
                  <wp:posOffset>191770</wp:posOffset>
                </wp:positionV>
                <wp:extent cx="333375" cy="887730"/>
                <wp:effectExtent l="0" t="0" r="28575" b="26670"/>
                <wp:wrapNone/>
                <wp:docPr id="26" name="矩形 26"/>
                <wp:cNvGraphicFramePr/>
                <a:graphic xmlns:a="http://schemas.openxmlformats.org/drawingml/2006/main">
                  <a:graphicData uri="http://schemas.microsoft.com/office/word/2010/wordprocessingShape">
                    <wps:wsp>
                      <wps:cNvSpPr>
                        <a:spLocks noChangeArrowheads="1"/>
                      </wps:cNvSpPr>
                      <wps:spPr bwMode="auto">
                        <a:xfrm>
                          <a:off x="0" y="0"/>
                          <a:ext cx="333375" cy="887730"/>
                        </a:xfrm>
                        <a:prstGeom prst="rect">
                          <a:avLst/>
                        </a:prstGeom>
                        <a:solidFill>
                          <a:srgbClr val="99CCFF"/>
                        </a:solidFill>
                        <a:ln>
                          <a:noFill/>
                        </a:ln>
                        <a:effectLst>
                          <a:outerShdw dist="35921" dir="2700000" algn="ctr" rotWithShape="0">
                            <a:srgbClr val="808080"/>
                          </a:outerShdw>
                        </a:effectLst>
                      </wps:spPr>
                      <wps:txbx>
                        <w:txbxContent>
                          <w:p>
                            <w:pPr>
                              <w:pStyle w:val="98"/>
                              <w:widowControl w:val="0"/>
                              <w:pBdr>
                                <w:left w:val="none" w:color="auto" w:sz="0" w:space="0"/>
                                <w:bottom w:val="none" w:color="auto" w:sz="0" w:space="0"/>
                                <w:right w:val="none" w:color="auto" w:sz="0" w:space="0"/>
                              </w:pBdr>
                              <w:spacing w:before="0" w:beforeAutospacing="0" w:after="156" w:afterAutospacing="0"/>
                              <w:textAlignment w:val="auto"/>
                              <w:rPr>
                                <w:rFonts w:hint="default" w:ascii="Times New Roman" w:hAnsi="Times New Roman" w:eastAsia="宋体"/>
                                <w:kern w:val="2"/>
                                <w:szCs w:val="24"/>
                              </w:rPr>
                            </w:pPr>
                            <w:r>
                              <w:rPr>
                                <w:rFonts w:ascii="Times New Roman" w:hAnsi="Times New Roman" w:eastAsia="宋体"/>
                                <w:kern w:val="2"/>
                                <w:szCs w:val="24"/>
                              </w:rPr>
                              <w:t>投标阶段</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25pt;margin-top:15.1pt;height:69.9pt;width:26.25pt;z-index:251672576;mso-width-relative:page;mso-height-relative:page;" fillcolor="#99CCFF" filled="t" stroked="f" coordsize="21600,21600" o:gfxdata="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aF3l/VAAAACQEAAA8AAAAAAAAAAQAgAAAAIgAAAGRycy9kb3ducmV2LnhtbFBLAQIUABQA&#10;AAAIAIdO4kBSV9dIZQIAALgEAAAOAAAAAAAAAAEAIAAAACQBAABkcnMvZTJvRG9jLnhtbFBLBQYA&#10;AAAABgAGAFkBAAD7BQAAAAA=&#10;">
                <v:fill on="t" focussize="0,0"/>
                <v:stroke on="f"/>
                <v:imagedata o:title=""/>
                <o:lock v:ext="edit" aspectratio="f"/>
                <v:shadow on="t" color="#808080" offset="2pt,2pt" origin="0f,0f" matrix="65536f,0f,0f,65536f"/>
                <v:textbox>
                  <w:txbxContent>
                    <w:p>
                      <w:pPr>
                        <w:pStyle w:val="98"/>
                        <w:widowControl w:val="0"/>
                        <w:pBdr>
                          <w:left w:val="none" w:color="auto" w:sz="0" w:space="0"/>
                          <w:bottom w:val="none" w:color="auto" w:sz="0" w:space="0"/>
                          <w:right w:val="none" w:color="auto" w:sz="0" w:space="0"/>
                        </w:pBdr>
                        <w:spacing w:before="0" w:beforeAutospacing="0" w:after="156" w:afterAutospacing="0"/>
                        <w:textAlignment w:val="auto"/>
                        <w:rPr>
                          <w:rFonts w:hint="default" w:ascii="Times New Roman" w:hAnsi="Times New Roman" w:eastAsia="宋体"/>
                          <w:kern w:val="2"/>
                          <w:szCs w:val="24"/>
                        </w:rPr>
                      </w:pPr>
                      <w:r>
                        <w:rPr>
                          <w:rFonts w:ascii="Times New Roman" w:hAnsi="Times New Roman" w:eastAsia="宋体"/>
                          <w:kern w:val="2"/>
                          <w:szCs w:val="24"/>
                        </w:rPr>
                        <w:t>投标阶段</w:t>
                      </w:r>
                    </w:p>
                  </w:txbxContent>
                </v:textbox>
              </v:rect>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hint="eastAsia" w:ascii="仿宋_GB2312" w:hAnsi="宋体" w:eastAsia="仿宋_GB2312"/>
          <w:kern w:val="0"/>
          <w:sz w:val="24"/>
        </w:rPr>
        <mc:AlternateContent>
          <mc:Choice Requires="wps">
            <w:drawing>
              <wp:anchor distT="0" distB="0" distL="114300" distR="114300" simplePos="0" relativeHeight="251677696" behindDoc="0" locked="0" layoutInCell="1" allowOverlap="1">
                <wp:simplePos x="0" y="0"/>
                <wp:positionH relativeFrom="column">
                  <wp:posOffset>1541145</wp:posOffset>
                </wp:positionH>
                <wp:positionV relativeFrom="paragraph">
                  <wp:posOffset>187960</wp:posOffset>
                </wp:positionV>
                <wp:extent cx="2171700" cy="297180"/>
                <wp:effectExtent l="0" t="0" r="0" b="7620"/>
                <wp:wrapNone/>
                <wp:docPr id="35" name="矩形 35"/>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9525">
                          <a:solidFill>
                            <a:srgbClr val="000000"/>
                          </a:solidFill>
                          <a:miter lim="800000"/>
                        </a:ln>
                      </wps:spPr>
                      <wps:txbx>
                        <w:txbxContent>
                          <w:p>
                            <w:pPr>
                              <w:jc w:val="center"/>
                              <w:rPr>
                                <w:sz w:val="18"/>
                              </w:rPr>
                            </w:pPr>
                            <w:r>
                              <w:rPr>
                                <w:rFonts w:hint="eastAsia"/>
                                <w:sz w:val="18"/>
                              </w:rPr>
                              <w:t>投标人编制投标文件</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1.35pt;margin-top:14.8pt;height:23.4pt;width:171pt;z-index:251677696;mso-width-relative:page;mso-height-relative:page;" fillcolor="#FFFFFF" filled="t" stroked="t" coordsize="21600,21600" o:gfxdata="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1GYyTYAAAACQEAAA8AAAAAAAAAAQAgAAAAIgAAAGRycy9k&#10;b3ducmV2LnhtbFBLAQIUABQAAAAIAIdO4kCj99hjOwIAAHwEAAAOAAAAAAAAAAEAIAAAACcBAABk&#10;cnMvZTJvRG9jLnhtbFBLBQYAAAAABgAGAFkBAADUBQAAAAA=&#10;">
                <v:fill on="t" focussize="0,0"/>
                <v:stroke color="#000000" miterlimit="8" joinstyle="miter"/>
                <v:imagedata o:title=""/>
                <o:lock v:ext="edit" aspectratio="f"/>
                <v:textbox>
                  <w:txbxContent>
                    <w:p>
                      <w:pPr>
                        <w:jc w:val="center"/>
                        <w:rPr>
                          <w:sz w:val="18"/>
                        </w:rPr>
                      </w:pPr>
                      <w:r>
                        <w:rPr>
                          <w:rFonts w:hint="eastAsia"/>
                          <w:sz w:val="18"/>
                        </w:rPr>
                        <w:t>投标人编制投标文件</w:t>
                      </w:r>
                    </w:p>
                  </w:txbxContent>
                </v:textbox>
              </v:rect>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hint="eastAsia" w:ascii="仿宋_GB2312" w:hAnsi="宋体" w:eastAsia="仿宋_GB2312"/>
          <w:kern w:val="0"/>
          <w:sz w:val="24"/>
        </w:rPr>
        <mc:AlternateContent>
          <mc:Choice Requires="wps">
            <w:drawing>
              <wp:anchor distT="0" distB="0" distL="114300" distR="114300" simplePos="0" relativeHeight="251678720" behindDoc="0" locked="0" layoutInCell="1" allowOverlap="1">
                <wp:simplePos x="0" y="0"/>
                <wp:positionH relativeFrom="column">
                  <wp:posOffset>1531620</wp:posOffset>
                </wp:positionH>
                <wp:positionV relativeFrom="paragraph">
                  <wp:posOffset>103505</wp:posOffset>
                </wp:positionV>
                <wp:extent cx="2171700" cy="297180"/>
                <wp:effectExtent l="0" t="0" r="0" b="7620"/>
                <wp:wrapNone/>
                <wp:docPr id="36" name="矩形 36"/>
                <wp:cNvGraphicFramePr/>
                <a:graphic xmlns:a="http://schemas.openxmlformats.org/drawingml/2006/main">
                  <a:graphicData uri="http://schemas.microsoft.com/office/word/2010/wordprocessingShape">
                    <wps:wsp>
                      <wps:cNvSpPr>
                        <a:spLocks noChangeArrowheads="1"/>
                      </wps:cNvSpPr>
                      <wps:spPr bwMode="auto">
                        <a:xfrm>
                          <a:off x="0" y="0"/>
                          <a:ext cx="2171700" cy="297180"/>
                        </a:xfrm>
                        <a:prstGeom prst="rect">
                          <a:avLst/>
                        </a:prstGeom>
                        <a:solidFill>
                          <a:srgbClr val="FFFFFF"/>
                        </a:solidFill>
                        <a:ln w="9525">
                          <a:solidFill>
                            <a:srgbClr val="000000"/>
                          </a:solidFill>
                          <a:miter lim="800000"/>
                        </a:ln>
                      </wps:spPr>
                      <wps:txbx>
                        <w:txbxContent>
                          <w:p>
                            <w:pPr>
                              <w:jc w:val="center"/>
                              <w:rPr>
                                <w:sz w:val="18"/>
                              </w:rPr>
                            </w:pPr>
                            <w:r>
                              <w:rPr>
                                <w:rFonts w:hint="eastAsia"/>
                                <w:sz w:val="18"/>
                              </w:rPr>
                              <w:t>投标人递交投标文件</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0.6pt;margin-top:8.15pt;height:23.4pt;width:171pt;z-index:251678720;mso-width-relative:page;mso-height-relative:page;" fillcolor="#FFFFFF" filled="t" stroked="t" coordsize="21600,21600" o:gfxdata="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qvRiENcAAAAJAQAADwAAAAAAAAABACAAAAAiAAAAZHJzL2Rv&#10;d25yZXYueG1sUEsBAhQAFAAAAAgAh07iQOxx7sE7AgAAfAQAAA4AAAAAAAAAAQAgAAAAJgEAAGRy&#10;cy9lMm9Eb2MueG1sUEsFBgAAAAAGAAYAWQEAANMFAAAAAA==&#10;">
                <v:fill on="t" focussize="0,0"/>
                <v:stroke color="#000000" miterlimit="8" joinstyle="miter"/>
                <v:imagedata o:title=""/>
                <o:lock v:ext="edit" aspectratio="f"/>
                <v:textbox>
                  <w:txbxContent>
                    <w:p>
                      <w:pPr>
                        <w:jc w:val="center"/>
                        <w:rPr>
                          <w:sz w:val="18"/>
                        </w:rPr>
                      </w:pPr>
                      <w:r>
                        <w:rPr>
                          <w:rFonts w:hint="eastAsia"/>
                          <w:sz w:val="18"/>
                        </w:rPr>
                        <w:t>投标人递交投标文件</w:t>
                      </w:r>
                    </w:p>
                  </w:txbxContent>
                </v:textbox>
              </v:rect>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hint="eastAsia" w:ascii="仿宋_GB2312" w:hAnsi="宋体" w:eastAsia="仿宋_GB2312"/>
          <w:kern w:val="0"/>
          <w:sz w:val="24"/>
        </w:rPr>
        <mc:AlternateContent>
          <mc:Choice Requires="wps">
            <w:drawing>
              <wp:anchor distT="0" distB="0" distL="114300" distR="114300" simplePos="0" relativeHeight="251669504" behindDoc="0" locked="0" layoutInCell="1" allowOverlap="1">
                <wp:simplePos x="0" y="0"/>
                <wp:positionH relativeFrom="column">
                  <wp:posOffset>5057775</wp:posOffset>
                </wp:positionH>
                <wp:positionV relativeFrom="paragraph">
                  <wp:posOffset>43815</wp:posOffset>
                </wp:positionV>
                <wp:extent cx="342900" cy="2887980"/>
                <wp:effectExtent l="0" t="0" r="0" b="0"/>
                <wp:wrapNone/>
                <wp:docPr id="23" name="矩形 23"/>
                <wp:cNvGraphicFramePr/>
                <a:graphic xmlns:a="http://schemas.openxmlformats.org/drawingml/2006/main">
                  <a:graphicData uri="http://schemas.microsoft.com/office/word/2010/wordprocessingShape">
                    <wps:wsp>
                      <wps:cNvSpPr>
                        <a:spLocks noChangeArrowheads="1"/>
                      </wps:cNvSpPr>
                      <wps:spPr bwMode="auto">
                        <a:xfrm>
                          <a:off x="0" y="0"/>
                          <a:ext cx="342900" cy="2887980"/>
                        </a:xfrm>
                        <a:prstGeom prst="rect">
                          <a:avLst/>
                        </a:prstGeom>
                        <a:noFill/>
                        <a:ln>
                          <a:noFill/>
                        </a:ln>
                      </wps:spPr>
                      <wps:txbx>
                        <w:txbxContent>
                          <w:p>
                            <w:pPr>
                              <w:rPr>
                                <w:b/>
                                <w:bCs/>
                                <w:color w:val="99CCFF"/>
                                <w:sz w:val="18"/>
                              </w:rPr>
                            </w:pPr>
                            <w:r>
                              <w:rPr>
                                <w:rFonts w:hint="eastAsia" w:eastAsia="华文中宋"/>
                                <w:b/>
                                <w:bCs/>
                                <w:color w:val="3366FF"/>
                              </w:rPr>
                              <w:t>有关部门进行监督贯穿全过程</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98.25pt;margin-top:3.45pt;height:227.4pt;width:27pt;z-index:251669504;mso-width-relative:page;mso-height-relative:page;" filled="f" stroked="f" coordsize="21600,21600" o:gfxdata="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XyHRDaAAAACQEAAA8AAAAAAAAA&#10;AQAgAAAAIgAAAGRycy9kb3ducmV2LnhtbFBLAQIUABQAAAAIAIdO4kCVcBQ8DwIAAAoEAAAOAAAA&#10;AAAAAAEAIAAAACkBAABkcnMvZTJvRG9jLnhtbFBLBQYAAAAABgAGAFkBAACqBQAAAAA=&#10;">
                <v:fill on="f" focussize="0,0"/>
                <v:stroke on="f"/>
                <v:imagedata o:title=""/>
                <o:lock v:ext="edit" aspectratio="f"/>
                <v:textbox>
                  <w:txbxContent>
                    <w:p>
                      <w:pPr>
                        <w:rPr>
                          <w:b/>
                          <w:bCs/>
                          <w:color w:val="99CCFF"/>
                          <w:sz w:val="18"/>
                        </w:rPr>
                      </w:pPr>
                      <w:r>
                        <w:rPr>
                          <w:rFonts w:hint="eastAsia" w:eastAsia="华文中宋"/>
                          <w:b/>
                          <w:bCs/>
                          <w:color w:val="3366FF"/>
                        </w:rPr>
                        <w:t>有关部门进行监督贯穿全过程</w:t>
                      </w:r>
                    </w:p>
                  </w:txbxContent>
                </v:textbox>
              </v:rect>
            </w:pict>
          </mc:Fallback>
        </mc:AlternateContent>
      </w:r>
    </w:p>
    <w:p>
      <w:pPr>
        <w:tabs>
          <w:tab w:val="left" w:pos="6000"/>
        </w:tabs>
        <w:rPr>
          <w:rFonts w:ascii="仿宋_GB2312" w:hAnsi="宋体" w:eastAsia="仿宋_GB2312"/>
          <w:kern w:val="0"/>
          <w:sz w:val="24"/>
        </w:rPr>
      </w:pPr>
      <w:r>
        <w:rPr>
          <w:rFonts w:hint="eastAsia" w:ascii="仿宋_GB2312" w:hAnsi="宋体" w:eastAsia="仿宋_GB2312"/>
          <w:kern w:val="0"/>
          <w:sz w:val="24"/>
        </w:rPr>
        <mc:AlternateContent>
          <mc:Choice Requires="wps">
            <w:drawing>
              <wp:anchor distT="0" distB="0" distL="114300" distR="114300" simplePos="0" relativeHeight="251680768" behindDoc="0" locked="0" layoutInCell="1" allowOverlap="1">
                <wp:simplePos x="0" y="0"/>
                <wp:positionH relativeFrom="column">
                  <wp:posOffset>1714500</wp:posOffset>
                </wp:positionH>
                <wp:positionV relativeFrom="paragraph">
                  <wp:posOffset>142875</wp:posOffset>
                </wp:positionV>
                <wp:extent cx="1771650" cy="297180"/>
                <wp:effectExtent l="0" t="0" r="0" b="7620"/>
                <wp:wrapNone/>
                <wp:docPr id="39" name="矩形 39"/>
                <wp:cNvGraphicFramePr/>
                <a:graphic xmlns:a="http://schemas.openxmlformats.org/drawingml/2006/main">
                  <a:graphicData uri="http://schemas.microsoft.com/office/word/2010/wordprocessingShape">
                    <wps:wsp>
                      <wps:cNvSpPr>
                        <a:spLocks noChangeArrowheads="1"/>
                      </wps:cNvSpPr>
                      <wps:spPr bwMode="auto">
                        <a:xfrm>
                          <a:off x="0" y="0"/>
                          <a:ext cx="1771650" cy="297180"/>
                        </a:xfrm>
                        <a:prstGeom prst="rect">
                          <a:avLst/>
                        </a:prstGeom>
                        <a:solidFill>
                          <a:srgbClr val="FFFFFF"/>
                        </a:solidFill>
                        <a:ln w="9525">
                          <a:solidFill>
                            <a:srgbClr val="000000"/>
                          </a:solidFill>
                          <a:miter lim="800000"/>
                        </a:ln>
                      </wps:spPr>
                      <wps:txbx>
                        <w:txbxContent>
                          <w:p>
                            <w:pPr>
                              <w:jc w:val="center"/>
                              <w:rPr>
                                <w:sz w:val="18"/>
                              </w:rPr>
                            </w:pPr>
                            <w:r>
                              <w:rPr>
                                <w:rFonts w:hint="eastAsia"/>
                                <w:sz w:val="18"/>
                              </w:rPr>
                              <w:t>开标</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5pt;margin-top:11.25pt;height:23.4pt;width:139.5pt;z-index:251680768;mso-width-relative:page;mso-height-relative:page;" fillcolor="#FFFFFF" filled="t" stroked="t" coordsize="21600,21600" o:gfxdata="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F+ESoTYAAAACQEAAA8AAAAAAAAAAQAgAAAAIgAAAGRycy9k&#10;b3ducmV2LnhtbFBLAQIUABQAAAAIAIdO4kCNzzx/OwIAAHwEAAAOAAAAAAAAAAEAIAAAACcBAABk&#10;cnMvZTJvRG9jLnhtbFBLBQYAAAAABgAGAFkBAADUBQAAAAA=&#10;">
                <v:fill on="t" focussize="0,0"/>
                <v:stroke color="#000000" miterlimit="8" joinstyle="miter"/>
                <v:imagedata o:title=""/>
                <o:lock v:ext="edit" aspectratio="f"/>
                <v:textbox>
                  <w:txbxContent>
                    <w:p>
                      <w:pPr>
                        <w:jc w:val="center"/>
                        <w:rPr>
                          <w:sz w:val="18"/>
                        </w:rPr>
                      </w:pPr>
                      <w:r>
                        <w:rPr>
                          <w:rFonts w:hint="eastAsia"/>
                          <w:sz w:val="18"/>
                        </w:rPr>
                        <w:t>开标</w:t>
                      </w:r>
                    </w:p>
                  </w:txbxContent>
                </v:textbox>
              </v:rect>
            </w:pict>
          </mc:Fallback>
        </mc:AlternateContent>
      </w:r>
    </w:p>
    <w:p>
      <w:pPr>
        <w:tabs>
          <w:tab w:val="left" w:pos="6000"/>
        </w:tabs>
        <w:rPr>
          <w:rFonts w:ascii="仿宋_GB2312" w:hAnsi="宋体" w:eastAsia="仿宋_GB2312"/>
          <w:kern w:val="0"/>
          <w:sz w:val="24"/>
        </w:rPr>
      </w:pPr>
      <w:r>
        <w:rPr>
          <w:rFonts w:hint="eastAsia" w:ascii="仿宋_GB2312" w:hAnsi="宋体" w:eastAsia="仿宋_GB2312"/>
          <w:kern w:val="0"/>
          <w:sz w:val="24"/>
        </w:rPr>
        <mc:AlternateContent>
          <mc:Choice Requires="wps">
            <w:drawing>
              <wp:anchor distT="0" distB="0" distL="114300" distR="114300" simplePos="0" relativeHeight="251683840" behindDoc="0" locked="0" layoutInCell="1" allowOverlap="1">
                <wp:simplePos x="0" y="0"/>
                <wp:positionH relativeFrom="column">
                  <wp:posOffset>3486150</wp:posOffset>
                </wp:positionH>
                <wp:positionV relativeFrom="paragraph">
                  <wp:posOffset>83820</wp:posOffset>
                </wp:positionV>
                <wp:extent cx="1571625" cy="0"/>
                <wp:effectExtent l="0" t="0" r="0" b="0"/>
                <wp:wrapNone/>
                <wp:docPr id="46" name="直接连接符 46"/>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25400">
                          <a:solidFill>
                            <a:srgbClr val="000000"/>
                          </a:solidFill>
                          <a:round/>
                        </a:ln>
                      </wps:spPr>
                      <wps:bodyPr/>
                    </wps:wsp>
                  </a:graphicData>
                </a:graphic>
              </wp:anchor>
            </w:drawing>
          </mc:Choice>
          <mc:Fallback>
            <w:pict>
              <v:line id="_x0000_s1026" o:spid="_x0000_s1026" o:spt="20" style="position:absolute;left:0pt;margin-left:274.5pt;margin-top:6.6pt;height:0pt;width:123.75pt;z-index:251683840;mso-width-relative:page;mso-height-relative:page;" filled="f" stroked="t" coordsize="21600,21600" o:gfxdata="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GktuM1wAA&#10;AAkBAAAPAAAAAAAAAAEAIAAAACIAAABkcnMvZG93bnJldi54bWxQSwECFAAUAAAACACHTuJAc3cO&#10;neYBAACtAwAADgAAAAAAAAABACAAAAAmAQAAZHJzL2Uyb0RvYy54bWxQSwUGAAAAAAYABgBZAQAA&#10;fgUAAAAA&#10;">
                <v:fill on="f" focussize="0,0"/>
                <v:stroke weight="2pt" color="#000000" joinstyle="round"/>
                <v:imagedata o:title=""/>
                <o:lock v:ext="edit" aspectratio="f"/>
              </v:line>
            </w:pict>
          </mc:Fallback>
        </mc:AlternateContent>
      </w:r>
      <w:r>
        <w:rPr>
          <w:rFonts w:hint="eastAsia" w:ascii="仿宋_GB2312" w:hAnsi="宋体" w:eastAsia="仿宋_GB2312"/>
          <w:kern w:val="0"/>
          <w:sz w:val="24"/>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83820</wp:posOffset>
                </wp:positionV>
                <wp:extent cx="1704975" cy="0"/>
                <wp:effectExtent l="0" t="0" r="0" b="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line">
                          <a:avLst/>
                        </a:prstGeom>
                        <a:noFill/>
                        <a:ln w="25400">
                          <a:solidFill>
                            <a:srgbClr val="000000"/>
                          </a:solidFill>
                          <a:round/>
                        </a:ln>
                      </wps:spPr>
                      <wps:bodyPr/>
                    </wps:wsp>
                  </a:graphicData>
                </a:graphic>
              </wp:anchor>
            </w:drawing>
          </mc:Choice>
          <mc:Fallback>
            <w:pict>
              <v:line id="_x0000_s1026" o:spid="_x0000_s1026" o:spt="20" style="position:absolute;left:0pt;margin-left:0.75pt;margin-top:6.6pt;height:0pt;width:134.25pt;z-index:251662336;mso-width-relative:page;mso-height-relative:page;" filled="f" stroked="t" coordsize="21600,21600" o:gfxdata="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VLIRU1AAAAAcB&#10;AAAPAAAAAAAAAAEAIAAAACIAAABkcnMvZG93bnJldi54bWxQSwECFAAUAAAACACHTuJAIgePiuYB&#10;AACtAwAADgAAAAAAAAABACAAAAAjAQAAZHJzL2Uyb0RvYy54bWxQSwUGAAAAAAYABgBZAQAAewUA&#10;AAAA&#10;">
                <v:fill on="f" focussize="0,0"/>
                <v:stroke weight="2pt" color="#000000" joinstyle="round"/>
                <v:imagedata o:title=""/>
                <o:lock v:ext="edit" aspectratio="f"/>
              </v:line>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hint="eastAsia" w:ascii="仿宋_GB2312" w:hAnsi="宋体" w:eastAsia="仿宋_GB2312"/>
          <w:kern w:val="0"/>
          <w:sz w:val="24"/>
        </w:rPr>
        <mc:AlternateContent>
          <mc:Choice Requires="wps">
            <w:drawing>
              <wp:anchor distT="0" distB="0" distL="114300" distR="114300" simplePos="0" relativeHeight="251674624" behindDoc="0" locked="0" layoutInCell="1" allowOverlap="1">
                <wp:simplePos x="0" y="0"/>
                <wp:positionH relativeFrom="column">
                  <wp:posOffset>-171450</wp:posOffset>
                </wp:positionH>
                <wp:positionV relativeFrom="paragraph">
                  <wp:posOffset>187960</wp:posOffset>
                </wp:positionV>
                <wp:extent cx="333375" cy="952500"/>
                <wp:effectExtent l="0" t="0" r="28575" b="19050"/>
                <wp:wrapNone/>
                <wp:docPr id="15" name="矩形 15"/>
                <wp:cNvGraphicFramePr/>
                <a:graphic xmlns:a="http://schemas.openxmlformats.org/drawingml/2006/main">
                  <a:graphicData uri="http://schemas.microsoft.com/office/word/2010/wordprocessingShape">
                    <wps:wsp>
                      <wps:cNvSpPr>
                        <a:spLocks noChangeArrowheads="1"/>
                      </wps:cNvSpPr>
                      <wps:spPr bwMode="auto">
                        <a:xfrm>
                          <a:off x="0" y="0"/>
                          <a:ext cx="333375" cy="952500"/>
                        </a:xfrm>
                        <a:prstGeom prst="rect">
                          <a:avLst/>
                        </a:prstGeom>
                        <a:solidFill>
                          <a:srgbClr val="99CCFF"/>
                        </a:solidFill>
                        <a:ln>
                          <a:noFill/>
                        </a:ln>
                        <a:effectLst>
                          <a:outerShdw dist="35921" dir="2700000" algn="ctr" rotWithShape="0">
                            <a:srgbClr val="808080"/>
                          </a:outerShdw>
                        </a:effectLst>
                      </wps:spPr>
                      <wps:txbx>
                        <w:txbxContent>
                          <w:p>
                            <w:pPr>
                              <w:pStyle w:val="98"/>
                              <w:widowControl w:val="0"/>
                              <w:pBdr>
                                <w:left w:val="none" w:color="auto" w:sz="0" w:space="0"/>
                                <w:bottom w:val="none" w:color="auto" w:sz="0" w:space="0"/>
                                <w:right w:val="none" w:color="auto" w:sz="0" w:space="0"/>
                              </w:pBdr>
                              <w:spacing w:before="0" w:beforeAutospacing="0" w:after="156" w:afterAutospacing="0"/>
                              <w:textAlignment w:val="auto"/>
                              <w:rPr>
                                <w:rFonts w:hint="default" w:ascii="Times New Roman" w:hAnsi="Times New Roman" w:eastAsia="宋体"/>
                                <w:kern w:val="2"/>
                                <w:szCs w:val="24"/>
                              </w:rPr>
                            </w:pPr>
                            <w:r>
                              <w:rPr>
                                <w:rFonts w:ascii="Times New Roman" w:hAnsi="Times New Roman" w:eastAsia="宋体"/>
                                <w:kern w:val="2"/>
                                <w:szCs w:val="24"/>
                              </w:rPr>
                              <w:t>评审阶段</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5pt;margin-top:14.8pt;height:75pt;width:26.25pt;z-index:251674624;mso-width-relative:page;mso-height-relative:page;" fillcolor="#99CCFF" filled="t" stroked="f" coordsize="21600,21600" o:gfxdata="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j8Tv11QAAAAkBAAAPAAAAAAAAAAEAIAAAACIAAABkcnMvZG93bnJldi54bWxQSwECFAAUAAAA&#10;CACHTuJA3aWbimMCAAC4BAAADgAAAAAAAAABACAAAAAkAQAAZHJzL2Uyb0RvYy54bWxQSwUGAAAA&#10;AAYABgBZAQAA+QUAAAAA&#10;">
                <v:fill on="t" focussize="0,0"/>
                <v:stroke on="f"/>
                <v:imagedata o:title=""/>
                <o:lock v:ext="edit" aspectratio="f"/>
                <v:shadow on="t" color="#808080" offset="2pt,2pt" origin="0f,0f" matrix="65536f,0f,0f,65536f"/>
                <v:textbox>
                  <w:txbxContent>
                    <w:p>
                      <w:pPr>
                        <w:pStyle w:val="98"/>
                        <w:widowControl w:val="0"/>
                        <w:pBdr>
                          <w:left w:val="none" w:color="auto" w:sz="0" w:space="0"/>
                          <w:bottom w:val="none" w:color="auto" w:sz="0" w:space="0"/>
                          <w:right w:val="none" w:color="auto" w:sz="0" w:space="0"/>
                        </w:pBdr>
                        <w:spacing w:before="0" w:beforeAutospacing="0" w:after="156" w:afterAutospacing="0"/>
                        <w:textAlignment w:val="auto"/>
                        <w:rPr>
                          <w:rFonts w:hint="default" w:ascii="Times New Roman" w:hAnsi="Times New Roman" w:eastAsia="宋体"/>
                          <w:kern w:val="2"/>
                          <w:szCs w:val="24"/>
                        </w:rPr>
                      </w:pPr>
                      <w:r>
                        <w:rPr>
                          <w:rFonts w:ascii="Times New Roman" w:hAnsi="Times New Roman" w:eastAsia="宋体"/>
                          <w:kern w:val="2"/>
                          <w:szCs w:val="24"/>
                        </w:rPr>
                        <w:t>评审阶段</w:t>
                      </w:r>
                    </w:p>
                  </w:txbxContent>
                </v:textbox>
              </v:rect>
            </w:pict>
          </mc:Fallback>
        </mc:AlternateContent>
      </w:r>
    </w:p>
    <w:p>
      <w:pPr>
        <w:tabs>
          <w:tab w:val="left" w:pos="6000"/>
        </w:tabs>
        <w:rPr>
          <w:rFonts w:ascii="仿宋_GB2312" w:hAnsi="宋体" w:eastAsia="仿宋_GB2312"/>
          <w:kern w:val="0"/>
          <w:sz w:val="24"/>
        </w:rPr>
      </w:pPr>
      <w:r>
        <w:rPr>
          <w:rFonts w:hint="eastAsia" w:ascii="仿宋_GB2312" w:hAnsi="宋体" w:eastAsia="仿宋_GB2312"/>
          <w:kern w:val="0"/>
          <w:sz w:val="24"/>
        </w:rPr>
        <mc:AlternateContent>
          <mc:Choice Requires="wps">
            <w:drawing>
              <wp:anchor distT="0" distB="0" distL="114300" distR="114300" simplePos="0" relativeHeight="251681792" behindDoc="0" locked="0" layoutInCell="1" allowOverlap="1">
                <wp:simplePos x="0" y="0"/>
                <wp:positionH relativeFrom="column">
                  <wp:posOffset>1704975</wp:posOffset>
                </wp:positionH>
                <wp:positionV relativeFrom="paragraph">
                  <wp:posOffset>63500</wp:posOffset>
                </wp:positionV>
                <wp:extent cx="1781175" cy="297180"/>
                <wp:effectExtent l="0" t="0" r="9525" b="7620"/>
                <wp:wrapNone/>
                <wp:docPr id="41" name="矩形 41"/>
                <wp:cNvGraphicFramePr/>
                <a:graphic xmlns:a="http://schemas.openxmlformats.org/drawingml/2006/main">
                  <a:graphicData uri="http://schemas.microsoft.com/office/word/2010/wordprocessingShape">
                    <wps:wsp>
                      <wps:cNvSpPr>
                        <a:spLocks noChangeArrowheads="1"/>
                      </wps:cNvSpPr>
                      <wps:spPr bwMode="auto">
                        <a:xfrm>
                          <a:off x="0" y="0"/>
                          <a:ext cx="1781175" cy="297180"/>
                        </a:xfrm>
                        <a:prstGeom prst="rect">
                          <a:avLst/>
                        </a:prstGeom>
                        <a:solidFill>
                          <a:srgbClr val="FFFFFF"/>
                        </a:solidFill>
                        <a:ln w="9525">
                          <a:solidFill>
                            <a:srgbClr val="000000"/>
                          </a:solidFill>
                          <a:miter lim="800000"/>
                        </a:ln>
                      </wps:spPr>
                      <wps:txbx>
                        <w:txbxContent>
                          <w:p>
                            <w:pPr>
                              <w:jc w:val="center"/>
                              <w:rPr>
                                <w:sz w:val="18"/>
                              </w:rPr>
                            </w:pPr>
                            <w:r>
                              <w:rPr>
                                <w:rFonts w:hint="eastAsia"/>
                                <w:sz w:val="18"/>
                              </w:rPr>
                              <w:t>评审</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4.25pt;margin-top:5pt;height:23.4pt;width:140.25pt;z-index:251681792;mso-width-relative:page;mso-height-relative:page;" fillcolor="#FFFFFF" filled="t" stroked="t" coordsize="21600,21600" o:gfxdata="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VawvLWAAAACQEAAA8AAAAAAAAAAQAgAAAAIgAAAGRycy9kb3du&#10;cmV2LnhtbFBLAQIUABQAAAAIAIdO4kCKbNTxOgIAAHwEAAAOAAAAAAAAAAEAIAAAACUBAABkcnMv&#10;ZTJvRG9jLnhtbFBLBQYAAAAABgAGAFkBAADRBQAAAAA=&#10;">
                <v:fill on="t" focussize="0,0"/>
                <v:stroke color="#000000" miterlimit="8" joinstyle="miter"/>
                <v:imagedata o:title=""/>
                <o:lock v:ext="edit" aspectratio="f"/>
                <v:textbox>
                  <w:txbxContent>
                    <w:p>
                      <w:pPr>
                        <w:jc w:val="center"/>
                        <w:rPr>
                          <w:sz w:val="18"/>
                        </w:rPr>
                      </w:pPr>
                      <w:r>
                        <w:rPr>
                          <w:rFonts w:hint="eastAsia"/>
                          <w:sz w:val="18"/>
                        </w:rPr>
                        <w:t>评审</w:t>
                      </w:r>
                    </w:p>
                  </w:txbxContent>
                </v:textbox>
              </v:rect>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hint="eastAsia" w:ascii="仿宋_GB2312" w:hAnsi="宋体" w:eastAsia="仿宋_GB2312"/>
          <w:kern w:val="0"/>
          <w:sz w:val="24"/>
        </w:rPr>
        <mc:AlternateContent>
          <mc:Choice Requires="wps">
            <w:drawing>
              <wp:anchor distT="0" distB="0" distL="114300" distR="114300" simplePos="0" relativeHeight="251682816" behindDoc="0" locked="0" layoutInCell="1" allowOverlap="1">
                <wp:simplePos x="0" y="0"/>
                <wp:positionH relativeFrom="column">
                  <wp:posOffset>1704975</wp:posOffset>
                </wp:positionH>
                <wp:positionV relativeFrom="paragraph">
                  <wp:posOffset>3810</wp:posOffset>
                </wp:positionV>
                <wp:extent cx="1828800" cy="297180"/>
                <wp:effectExtent l="0" t="0" r="0" b="7620"/>
                <wp:wrapNone/>
                <wp:docPr id="42" name="矩形 42"/>
                <wp:cNvGraphicFramePr/>
                <a:graphic xmlns:a="http://schemas.openxmlformats.org/drawingml/2006/main">
                  <a:graphicData uri="http://schemas.microsoft.com/office/word/2010/wordprocessingShape">
                    <wps:wsp>
                      <wps:cNvSpPr>
                        <a:spLocks noChangeArrowheads="1"/>
                      </wps:cNvSpPr>
                      <wps:spPr bwMode="auto">
                        <a:xfrm>
                          <a:off x="0" y="0"/>
                          <a:ext cx="1828800" cy="297180"/>
                        </a:xfrm>
                        <a:prstGeom prst="rect">
                          <a:avLst/>
                        </a:prstGeom>
                        <a:solidFill>
                          <a:srgbClr val="FFFFFF"/>
                        </a:solidFill>
                        <a:ln w="9525">
                          <a:solidFill>
                            <a:srgbClr val="000000"/>
                          </a:solidFill>
                          <a:miter lim="800000"/>
                        </a:ln>
                      </wps:spPr>
                      <wps:txbx>
                        <w:txbxContent>
                          <w:p>
                            <w:pPr>
                              <w:jc w:val="center"/>
                              <w:rPr>
                                <w:sz w:val="18"/>
                              </w:rPr>
                            </w:pPr>
                            <w:r>
                              <w:rPr>
                                <w:rFonts w:hint="eastAsia"/>
                                <w:sz w:val="18"/>
                              </w:rPr>
                              <w:t>公示拟中标人</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4.25pt;margin-top:0.3pt;height:23.4pt;width:144pt;z-index:251682816;mso-width-relative:page;mso-height-relative:page;" fillcolor="#FFFFFF" filled="t" stroked="t" coordsize="21600,21600" o:gfxdata="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0c68d1QAAAAcBAAAPAAAAAAAAAAEAIAAAACIAAABkcnMvZG93&#10;bnJldi54bWxQSwECFAAUAAAACACHTuJAR5DcjTwCAAB8BAAADgAAAAAAAAABACAAAAAkAQAAZHJz&#10;L2Uyb0RvYy54bWxQSwUGAAAAAAYABgBZAQAA0gUAAAAA&#10;">
                <v:fill on="t" focussize="0,0"/>
                <v:stroke color="#000000" miterlimit="8" joinstyle="miter"/>
                <v:imagedata o:title=""/>
                <o:lock v:ext="edit" aspectratio="f"/>
                <v:textbox>
                  <w:txbxContent>
                    <w:p>
                      <w:pPr>
                        <w:jc w:val="center"/>
                        <w:rPr>
                          <w:sz w:val="18"/>
                        </w:rPr>
                      </w:pPr>
                      <w:r>
                        <w:rPr>
                          <w:rFonts w:hint="eastAsia"/>
                          <w:sz w:val="18"/>
                        </w:rPr>
                        <w:t>公示拟中标人</w:t>
                      </w:r>
                    </w:p>
                  </w:txbxContent>
                </v:textbox>
              </v:rect>
            </w:pict>
          </mc:Fallback>
        </mc:AlternateContent>
      </w:r>
      <w:r>
        <w:rPr>
          <w:rFonts w:hint="eastAsia" w:ascii="仿宋_GB2312" w:hAnsi="宋体" w:eastAsia="仿宋_GB2312"/>
          <w:kern w:val="0"/>
          <w:sz w:val="24"/>
        </w:rPr>
        <mc:AlternateContent>
          <mc:Choice Requires="wps">
            <w:drawing>
              <wp:anchor distT="0" distB="0" distL="113030" distR="113030" simplePos="0" relativeHeight="251660288" behindDoc="0" locked="0" layoutInCell="1" allowOverlap="1">
                <wp:simplePos x="0" y="0"/>
                <wp:positionH relativeFrom="column">
                  <wp:posOffset>2618740</wp:posOffset>
                </wp:positionH>
                <wp:positionV relativeFrom="paragraph">
                  <wp:posOffset>70485</wp:posOffset>
                </wp:positionV>
                <wp:extent cx="0" cy="2847975"/>
                <wp:effectExtent l="76200" t="0" r="57150" b="28575"/>
                <wp:wrapNone/>
                <wp:docPr id="45" name="直接连接符 45"/>
                <wp:cNvGraphicFramePr/>
                <a:graphic xmlns:a="http://schemas.openxmlformats.org/drawingml/2006/main">
                  <a:graphicData uri="http://schemas.microsoft.com/office/word/2010/wordprocessingShape">
                    <wps:wsp>
                      <wps:cNvCnPr>
                        <a:cxnSpLocks noChangeShapeType="1"/>
                      </wps:cNvCnPr>
                      <wps:spPr bwMode="auto">
                        <a:xfrm>
                          <a:off x="0" y="0"/>
                          <a:ext cx="0" cy="284797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06.2pt;margin-top:5.55pt;height:224.25pt;width:0pt;z-index:251660288;mso-width-relative:page;mso-height-relative:page;" filled="f" stroked="t" coordsize="21600,21600" o:gfxdata="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7HU3tkAAAAKAQAADwAAAAAAAAABACAAAAAiAAAAZHJzL2Rv&#10;d25yZXYueG1sUEsBAhQAFAAAAAgAh07iQMAfzRUAAgAA2gMAAA4AAAAAAAAAAQAgAAAAKAEAAGRy&#10;cy9lMm9Eb2MueG1sUEsFBgAAAAAGAAYAWQEAAJoFAAAAAA==&#10;">
                <v:fill on="f" focussize="0,0"/>
                <v:stroke color="#000000" joinstyle="round" endarrow="block"/>
                <v:imagedata o:title=""/>
                <o:lock v:ext="edit" aspectratio="f"/>
              </v:line>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hint="eastAsia" w:ascii="仿宋_GB2312" w:hAnsi="宋体" w:eastAsia="仿宋_GB2312"/>
          <w:kern w:val="0"/>
          <w:sz w:val="24"/>
        </w:rPr>
        <mc:AlternateContent>
          <mc:Choice Requires="wps">
            <w:drawing>
              <wp:anchor distT="0" distB="0" distL="114300" distR="114300" simplePos="0" relativeHeight="251686912" behindDoc="0" locked="0" layoutInCell="1" allowOverlap="1">
                <wp:simplePos x="0" y="0"/>
                <wp:positionH relativeFrom="column">
                  <wp:posOffset>1645920</wp:posOffset>
                </wp:positionH>
                <wp:positionV relativeFrom="paragraph">
                  <wp:posOffset>88900</wp:posOffset>
                </wp:positionV>
                <wp:extent cx="1943100" cy="297180"/>
                <wp:effectExtent l="7620" t="12700" r="11430" b="13970"/>
                <wp:wrapNone/>
                <wp:docPr id="13" name="矩形 42"/>
                <wp:cNvGraphicFramePr/>
                <a:graphic xmlns:a="http://schemas.openxmlformats.org/drawingml/2006/main">
                  <a:graphicData uri="http://schemas.microsoft.com/office/word/2010/wordprocessingShape">
                    <wps:wsp>
                      <wps:cNvSpPr>
                        <a:spLocks noChangeArrowheads="1"/>
                      </wps:cNvSpPr>
                      <wps:spPr bwMode="auto">
                        <a:xfrm>
                          <a:off x="0" y="0"/>
                          <a:ext cx="1943100" cy="297180"/>
                        </a:xfrm>
                        <a:prstGeom prst="rect">
                          <a:avLst/>
                        </a:prstGeom>
                        <a:solidFill>
                          <a:srgbClr val="FFFFFF"/>
                        </a:solidFill>
                        <a:ln w="9525">
                          <a:solidFill>
                            <a:srgbClr val="000000"/>
                          </a:solidFill>
                          <a:miter lim="800000"/>
                        </a:ln>
                      </wps:spPr>
                      <wps:txbx>
                        <w:txbxContent>
                          <w:p>
                            <w:pPr>
                              <w:jc w:val="center"/>
                              <w:rPr>
                                <w:sz w:val="18"/>
                              </w:rPr>
                            </w:pPr>
                            <w:r>
                              <w:rPr>
                                <w:rFonts w:hint="eastAsia"/>
                                <w:sz w:val="18"/>
                              </w:rPr>
                              <w:t>确定中标人及备标人</w:t>
                            </w:r>
                          </w:p>
                        </w:txbxContent>
                      </wps:txbx>
                      <wps:bodyPr rot="0" vert="horz" wrap="square" lIns="91440" tIns="45720" rIns="91440" bIns="45720" anchor="t" anchorCtr="0" upright="1">
                        <a:noAutofit/>
                      </wps:bodyPr>
                    </wps:wsp>
                  </a:graphicData>
                </a:graphic>
              </wp:anchor>
            </w:drawing>
          </mc:Choice>
          <mc:Fallback>
            <w:pict>
              <v:rect id="矩形 42" o:spid="_x0000_s1026" o:spt="1" style="position:absolute;left:0pt;margin-left:129.6pt;margin-top:7pt;height:23.4pt;width:153pt;z-index:251686912;mso-width-relative:page;mso-height-relative:page;" fillcolor="#FFFFFF" filled="t" stroked="t" coordsize="21600,21600" o:gfxdata="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fabXhtcAAAAJAQAADwAAAAAAAAABACAAAAAiAAAAZHJzL2Rv&#10;d25yZXYueG1sUEsBAhQAFAAAAAgAh07iQPo44eY7AgAAfAQAAA4AAAAAAAAAAQAgAAAAJgEAAGRy&#10;cy9lMm9Eb2MueG1sUEsFBgAAAAAGAAYAWQEAANMFAAAAAA==&#10;">
                <v:fill on="t" focussize="0,0"/>
                <v:stroke color="#000000" miterlimit="8" joinstyle="miter"/>
                <v:imagedata o:title=""/>
                <o:lock v:ext="edit" aspectratio="f"/>
                <v:textbox>
                  <w:txbxContent>
                    <w:p>
                      <w:pPr>
                        <w:jc w:val="center"/>
                        <w:rPr>
                          <w:sz w:val="18"/>
                        </w:rPr>
                      </w:pPr>
                      <w:r>
                        <w:rPr>
                          <w:rFonts w:hint="eastAsia"/>
                          <w:sz w:val="18"/>
                        </w:rPr>
                        <w:t>确定中标人及备标人</w:t>
                      </w:r>
                    </w:p>
                  </w:txbxContent>
                </v:textbox>
              </v:rect>
            </w:pict>
          </mc:Fallback>
        </mc:AlternateContent>
      </w:r>
    </w:p>
    <w:p>
      <w:pPr>
        <w:tabs>
          <w:tab w:val="left" w:pos="6000"/>
        </w:tabs>
        <w:rPr>
          <w:rFonts w:ascii="仿宋_GB2312" w:hAnsi="宋体" w:eastAsia="仿宋_GB2312"/>
          <w:kern w:val="0"/>
          <w:sz w:val="24"/>
        </w:rPr>
      </w:pPr>
      <w:r>
        <w:rPr>
          <w:rFonts w:hint="eastAsia" w:ascii="仿宋_GB2312" w:hAnsi="宋体" w:eastAsia="仿宋_GB2312"/>
          <w:kern w:val="0"/>
          <w:sz w:val="24"/>
        </w:rPr>
        <mc:AlternateContent>
          <mc:Choice Requires="wps">
            <w:drawing>
              <wp:anchor distT="0" distB="0" distL="114300" distR="114300" simplePos="0" relativeHeight="251684864" behindDoc="0" locked="0" layoutInCell="1" allowOverlap="1">
                <wp:simplePos x="0" y="0"/>
                <wp:positionH relativeFrom="column">
                  <wp:posOffset>3524250</wp:posOffset>
                </wp:positionH>
                <wp:positionV relativeFrom="paragraph">
                  <wp:posOffset>39370</wp:posOffset>
                </wp:positionV>
                <wp:extent cx="1533525" cy="0"/>
                <wp:effectExtent l="0" t="0" r="0" b="0"/>
                <wp:wrapNone/>
                <wp:docPr id="47" name="直接连接符 4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25400">
                          <a:solidFill>
                            <a:srgbClr val="000000"/>
                          </a:solidFill>
                          <a:round/>
                        </a:ln>
                      </wps:spPr>
                      <wps:bodyPr/>
                    </wps:wsp>
                  </a:graphicData>
                </a:graphic>
              </wp:anchor>
            </w:drawing>
          </mc:Choice>
          <mc:Fallback>
            <w:pict>
              <v:line id="_x0000_s1026" o:spid="_x0000_s1026" o:spt="20" style="position:absolute;left:0pt;margin-left:277.5pt;margin-top:3.1pt;height:0pt;width:120.75pt;z-index:251684864;mso-width-relative:page;mso-height-relative:page;" filled="f" stroked="t" coordsize="21600,21600" o:gfxdata="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WW7YzVAAAA&#10;BwEAAA8AAAAAAAAAAQAgAAAAIgAAAGRycy9kb3ducmV2LnhtbFBLAQIUABQAAAAIAIdO4kCfToyt&#10;5wEAAK0DAAAOAAAAAAAAAAEAIAAAACQBAABkcnMvZTJvRG9jLnhtbFBLBQYAAAAABgAGAFkBAAB9&#10;BQAAAAA=&#10;">
                <v:fill on="f" focussize="0,0"/>
                <v:stroke weight="2pt" color="#000000" joinstyle="round"/>
                <v:imagedata o:title=""/>
                <o:lock v:ext="edit" aspectratio="f"/>
              </v:line>
            </w:pict>
          </mc:Fallback>
        </mc:AlternateContent>
      </w:r>
      <w:r>
        <w:rPr>
          <w:rFonts w:hint="eastAsia" w:ascii="仿宋_GB2312" w:hAnsi="宋体" w:eastAsia="仿宋_GB2312"/>
          <w:kern w:val="0"/>
          <w:sz w:val="24"/>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43815</wp:posOffset>
                </wp:positionV>
                <wp:extent cx="1714500" cy="0"/>
                <wp:effectExtent l="0" t="0" r="0" b="0"/>
                <wp:wrapNone/>
                <wp:docPr id="12"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25400">
                          <a:solidFill>
                            <a:srgbClr val="000000"/>
                          </a:solidFill>
                          <a:round/>
                        </a:ln>
                      </wps:spPr>
                      <wps:bodyPr/>
                    </wps:wsp>
                  </a:graphicData>
                </a:graphic>
              </wp:anchor>
            </w:drawing>
          </mc:Choice>
          <mc:Fallback>
            <w:pict>
              <v:line id="直接连接符 7" o:spid="_x0000_s1026" o:spt="20" style="position:absolute;left:0pt;margin-left:-0.75pt;margin-top:3.45pt;height:0pt;width:135pt;z-index:251661312;mso-width-relative:page;mso-height-relative:page;" filled="f" stroked="t" coordsize="21600,21600" o:gfxdata="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yKnd7TAAAABgEAAA8A&#10;AAAAAAAAAQAgAAAAIgAAAGRycy9kb3ducmV2LnhtbFBLAQIUABQAAAAIAIdO4kBsodnp4wEAAKwD&#10;AAAOAAAAAAAAAAEAIAAAACIBAABkcnMvZTJvRG9jLnhtbFBLBQYAAAAABgAGAFkBAAB3BQAAAAA=&#10;">
                <v:fill on="f" focussize="0,0"/>
                <v:stroke weight="2pt" color="#000000" joinstyle="round"/>
                <v:imagedata o:title=""/>
                <o:lock v:ext="edit" aspectratio="f"/>
              </v:line>
            </w:pict>
          </mc:Fallback>
        </mc:AlternateContent>
      </w:r>
    </w:p>
    <w:p>
      <w:pPr>
        <w:tabs>
          <w:tab w:val="left" w:pos="6000"/>
        </w:tabs>
        <w:rPr>
          <w:rFonts w:ascii="仿宋_GB2312" w:hAnsi="宋体" w:eastAsia="仿宋_GB2312"/>
          <w:kern w:val="0"/>
          <w:sz w:val="24"/>
        </w:rPr>
      </w:pPr>
      <w:r>
        <w:rPr>
          <w:rFonts w:hint="eastAsia" w:ascii="仿宋_GB2312" w:hAnsi="宋体" w:eastAsia="仿宋_GB2312"/>
          <w:kern w:val="0"/>
          <w:sz w:val="24"/>
        </w:rPr>
        <mc:AlternateContent>
          <mc:Choice Requires="wps">
            <w:drawing>
              <wp:anchor distT="0" distB="0" distL="113030" distR="113030" simplePos="0" relativeHeight="251670528" behindDoc="0" locked="0" layoutInCell="1" allowOverlap="1">
                <wp:simplePos x="0" y="0"/>
                <wp:positionH relativeFrom="column">
                  <wp:posOffset>5238115</wp:posOffset>
                </wp:positionH>
                <wp:positionV relativeFrom="paragraph">
                  <wp:posOffset>-1905</wp:posOffset>
                </wp:positionV>
                <wp:extent cx="0" cy="1977390"/>
                <wp:effectExtent l="0" t="0" r="0" b="3810"/>
                <wp:wrapNone/>
                <wp:docPr id="11"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0" cy="1977390"/>
                        </a:xfrm>
                        <a:prstGeom prst="line">
                          <a:avLst/>
                        </a:prstGeom>
                        <a:noFill/>
                        <a:ln w="25400">
                          <a:solidFill>
                            <a:srgbClr val="000000"/>
                          </a:solidFill>
                          <a:round/>
                          <a:tailEnd type="none" w="sm" len="lg"/>
                        </a:ln>
                      </wps:spPr>
                      <wps:bodyPr/>
                    </wps:wsp>
                  </a:graphicData>
                </a:graphic>
              </wp:anchor>
            </w:drawing>
          </mc:Choice>
          <mc:Fallback>
            <w:pict>
              <v:line id="直接连接符 9" o:spid="_x0000_s1026" o:spt="20" style="position:absolute;left:0pt;margin-left:412.45pt;margin-top:-0.15pt;height:155.7pt;width:0pt;z-index:251670528;mso-width-relative:page;mso-height-relative:page;" filled="f" stroked="t" coordsize="21600,21600" o:gfxdata="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aH9Qm1wAAAAkBAAAPAAAAAAAAAAEAIAAAACIAAABkcnMvZG93bnJldi54&#10;bWxQSwECFAAUAAAACACHTuJAsz5SZ/sBAADUAwAADgAAAAAAAAABACAAAAAmAQAAZHJzL2Uyb0Rv&#10;Yy54bWxQSwUGAAAAAAYABgBZAQAAkwUAAAAA&#10;">
                <v:fill on="f" focussize="0,0"/>
                <v:stroke weight="2pt" color="#000000" joinstyle="round" endarrowwidth="narrow" endarrowlength="long"/>
                <v:imagedata o:title=""/>
                <o:lock v:ext="edit" aspectratio="f"/>
              </v:line>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hint="eastAsia" w:ascii="仿宋_GB2312" w:hAnsi="宋体" w:eastAsia="仿宋_GB2312"/>
          <w:kern w:val="0"/>
          <w:sz w:val="24"/>
        </w:rPr>
        <mc:AlternateContent>
          <mc:Choice Requires="wps">
            <w:drawing>
              <wp:anchor distT="0" distB="0" distL="114300" distR="114300" simplePos="0" relativeHeight="251685888" behindDoc="0" locked="0" layoutInCell="1" allowOverlap="1">
                <wp:simplePos x="0" y="0"/>
                <wp:positionH relativeFrom="column">
                  <wp:posOffset>1645920</wp:posOffset>
                </wp:positionH>
                <wp:positionV relativeFrom="paragraph">
                  <wp:posOffset>59055</wp:posOffset>
                </wp:positionV>
                <wp:extent cx="1983105" cy="297180"/>
                <wp:effectExtent l="7620" t="11430" r="9525" b="5715"/>
                <wp:wrapNone/>
                <wp:docPr id="10" name="矩形 42"/>
                <wp:cNvGraphicFramePr/>
                <a:graphic xmlns:a="http://schemas.openxmlformats.org/drawingml/2006/main">
                  <a:graphicData uri="http://schemas.microsoft.com/office/word/2010/wordprocessingShape">
                    <wps:wsp>
                      <wps:cNvSpPr>
                        <a:spLocks noChangeArrowheads="1"/>
                      </wps:cNvSpPr>
                      <wps:spPr bwMode="auto">
                        <a:xfrm>
                          <a:off x="0" y="0"/>
                          <a:ext cx="1983105" cy="297180"/>
                        </a:xfrm>
                        <a:prstGeom prst="rect">
                          <a:avLst/>
                        </a:prstGeom>
                        <a:solidFill>
                          <a:srgbClr val="FFFFFF"/>
                        </a:solidFill>
                        <a:ln w="9525">
                          <a:solidFill>
                            <a:srgbClr val="000000"/>
                          </a:solidFill>
                          <a:miter lim="800000"/>
                        </a:ln>
                      </wps:spPr>
                      <wps:txbx>
                        <w:txbxContent>
                          <w:p>
                            <w:pPr>
                              <w:jc w:val="center"/>
                              <w:rPr>
                                <w:sz w:val="18"/>
                              </w:rPr>
                            </w:pPr>
                            <w:r>
                              <w:rPr>
                                <w:rFonts w:hint="eastAsia"/>
                                <w:sz w:val="18"/>
                              </w:rPr>
                              <w:t>发布中标通知书、签订药品购销合同</w:t>
                            </w:r>
                          </w:p>
                        </w:txbxContent>
                      </wps:txbx>
                      <wps:bodyPr rot="0" vert="horz" wrap="square" lIns="91440" tIns="45720" rIns="91440" bIns="45720" anchor="t" anchorCtr="0" upright="1">
                        <a:noAutofit/>
                      </wps:bodyPr>
                    </wps:wsp>
                  </a:graphicData>
                </a:graphic>
              </wp:anchor>
            </w:drawing>
          </mc:Choice>
          <mc:Fallback>
            <w:pict>
              <v:rect id="矩形 42" o:spid="_x0000_s1026" o:spt="1" style="position:absolute;left:0pt;margin-left:129.6pt;margin-top:4.65pt;height:23.4pt;width:156.15pt;z-index:251685888;mso-width-relative:page;mso-height-relative:page;" fillcolor="#FFFFFF" filled="t" stroked="t" coordsize="21600,21600" o:gfxdata="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wujz1wAAAAgBAAAPAAAAAAAAAAEAIAAAACIAAABkcnMvZG93&#10;bnJldi54bWxQSwECFAAUAAAACACHTuJAEjAj/DoCAAB8BAAADgAAAAAAAAABACAAAAAmAQAAZHJz&#10;L2Uyb0RvYy54bWxQSwUGAAAAAAYABgBZAQAA0gUAAAAA&#10;">
                <v:fill on="t" focussize="0,0"/>
                <v:stroke color="#000000" miterlimit="8" joinstyle="miter"/>
                <v:imagedata o:title=""/>
                <o:lock v:ext="edit" aspectratio="f"/>
                <v:textbox>
                  <w:txbxContent>
                    <w:p>
                      <w:pPr>
                        <w:jc w:val="center"/>
                        <w:rPr>
                          <w:sz w:val="18"/>
                        </w:rPr>
                      </w:pPr>
                      <w:r>
                        <w:rPr>
                          <w:rFonts w:hint="eastAsia"/>
                          <w:sz w:val="18"/>
                        </w:rPr>
                        <w:t>发布中标通知书、签订药品购销合同</w:t>
                      </w:r>
                    </w:p>
                  </w:txbxContent>
                </v:textbox>
              </v:rect>
            </w:pict>
          </mc:Fallback>
        </mc:AlternateContent>
      </w:r>
      <w:r>
        <w:rPr>
          <w:rFonts w:hint="eastAsia" w:ascii="仿宋_GB2312" w:hAnsi="宋体" w:eastAsia="仿宋_GB2312"/>
          <w:kern w:val="0"/>
          <w:sz w:val="24"/>
        </w:rPr>
        <mc:AlternateContent>
          <mc:Choice Requires="wps">
            <w:drawing>
              <wp:anchor distT="0" distB="0" distL="114300" distR="114300" simplePos="0" relativeHeight="251675648" behindDoc="0" locked="0" layoutInCell="1" allowOverlap="1">
                <wp:simplePos x="0" y="0"/>
                <wp:positionH relativeFrom="column">
                  <wp:posOffset>-171450</wp:posOffset>
                </wp:positionH>
                <wp:positionV relativeFrom="paragraph">
                  <wp:posOffset>146050</wp:posOffset>
                </wp:positionV>
                <wp:extent cx="333375" cy="891540"/>
                <wp:effectExtent l="0" t="0" r="28575" b="22860"/>
                <wp:wrapNone/>
                <wp:docPr id="9" name="矩形 5"/>
                <wp:cNvGraphicFramePr/>
                <a:graphic xmlns:a="http://schemas.openxmlformats.org/drawingml/2006/main">
                  <a:graphicData uri="http://schemas.microsoft.com/office/word/2010/wordprocessingShape">
                    <wps:wsp>
                      <wps:cNvSpPr>
                        <a:spLocks noChangeArrowheads="1"/>
                      </wps:cNvSpPr>
                      <wps:spPr bwMode="auto">
                        <a:xfrm>
                          <a:off x="0" y="0"/>
                          <a:ext cx="333375" cy="891540"/>
                        </a:xfrm>
                        <a:prstGeom prst="rect">
                          <a:avLst/>
                        </a:prstGeom>
                        <a:solidFill>
                          <a:srgbClr val="99CCFF"/>
                        </a:solidFill>
                        <a:ln>
                          <a:noFill/>
                        </a:ln>
                        <a:effectLst>
                          <a:outerShdw dist="35921" dir="2700000" algn="ctr" rotWithShape="0">
                            <a:srgbClr val="808080"/>
                          </a:outerShdw>
                        </a:effectLst>
                      </wps:spPr>
                      <wps:txbx>
                        <w:txbxContent>
                          <w:p>
                            <w:pPr>
                              <w:pStyle w:val="98"/>
                              <w:widowControl w:val="0"/>
                              <w:pBdr>
                                <w:left w:val="none" w:color="auto" w:sz="0" w:space="0"/>
                                <w:bottom w:val="none" w:color="auto" w:sz="0" w:space="0"/>
                                <w:right w:val="none" w:color="auto" w:sz="0" w:space="0"/>
                              </w:pBdr>
                              <w:spacing w:before="0" w:beforeAutospacing="0" w:after="156" w:afterAutospacing="0"/>
                              <w:textAlignment w:val="auto"/>
                              <w:rPr>
                                <w:rFonts w:hint="default" w:ascii="Times New Roman" w:hAnsi="Times New Roman" w:eastAsia="宋体"/>
                                <w:kern w:val="2"/>
                                <w:szCs w:val="24"/>
                              </w:rPr>
                            </w:pPr>
                            <w:r>
                              <w:rPr>
                                <w:rFonts w:ascii="Times New Roman" w:hAnsi="Times New Roman" w:eastAsia="宋体"/>
                                <w:kern w:val="2"/>
                                <w:szCs w:val="24"/>
                              </w:rPr>
                              <w:t>采购阶段</w:t>
                            </w:r>
                          </w:p>
                        </w:txbxContent>
                      </wps:txbx>
                      <wps:bodyPr rot="0" vert="horz" wrap="square" lIns="91440" tIns="45720" rIns="91440" bIns="45720" anchor="t" anchorCtr="0" upright="1">
                        <a:noAutofit/>
                      </wps:bodyPr>
                    </wps:wsp>
                  </a:graphicData>
                </a:graphic>
              </wp:anchor>
            </w:drawing>
          </mc:Choice>
          <mc:Fallback>
            <w:pict>
              <v:rect id="矩形 5" o:spid="_x0000_s1026" o:spt="1" style="position:absolute;left:0pt;margin-left:-13.5pt;margin-top:11.5pt;height:70.2pt;width:26.25pt;z-index:251675648;mso-width-relative:page;mso-height-relative:page;" fillcolor="#99CCFF" filled="t" stroked="f" coordsize="21600,21600" o:gfxdata="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6a3htYAAAAJAQAADwAAAAAAAAABACAAAAAiAAAAZHJzL2Rvd25yZXYueG1sUEsBAhQAFAAA&#10;AAgAh07iQCXP5etjAgAAtgQAAA4AAAAAAAAAAQAgAAAAJQEAAGRycy9lMm9Eb2MueG1sUEsFBgAA&#10;AAAGAAYAWQEAAPoFAAAAAA==&#10;">
                <v:fill on="t" focussize="0,0"/>
                <v:stroke on="f"/>
                <v:imagedata o:title=""/>
                <o:lock v:ext="edit" aspectratio="f"/>
                <v:shadow on="t" color="#808080" offset="2pt,2pt" origin="0f,0f" matrix="65536f,0f,0f,65536f"/>
                <v:textbox>
                  <w:txbxContent>
                    <w:p>
                      <w:pPr>
                        <w:pStyle w:val="98"/>
                        <w:widowControl w:val="0"/>
                        <w:pBdr>
                          <w:left w:val="none" w:color="auto" w:sz="0" w:space="0"/>
                          <w:bottom w:val="none" w:color="auto" w:sz="0" w:space="0"/>
                          <w:right w:val="none" w:color="auto" w:sz="0" w:space="0"/>
                        </w:pBdr>
                        <w:spacing w:before="0" w:beforeAutospacing="0" w:after="156" w:afterAutospacing="0"/>
                        <w:textAlignment w:val="auto"/>
                        <w:rPr>
                          <w:rFonts w:hint="default" w:ascii="Times New Roman" w:hAnsi="Times New Roman" w:eastAsia="宋体"/>
                          <w:kern w:val="2"/>
                          <w:szCs w:val="24"/>
                        </w:rPr>
                      </w:pPr>
                      <w:r>
                        <w:rPr>
                          <w:rFonts w:ascii="Times New Roman" w:hAnsi="Times New Roman" w:eastAsia="宋体"/>
                          <w:kern w:val="2"/>
                          <w:szCs w:val="24"/>
                        </w:rPr>
                        <w:t>采购阶段</w:t>
                      </w:r>
                    </w:p>
                  </w:txbxContent>
                </v:textbox>
              </v:rect>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hint="eastAsia" w:ascii="仿宋_GB2312" w:hAnsi="宋体" w:eastAsia="仿宋_GB2312"/>
          <w:kern w:val="0"/>
          <w:sz w:val="24"/>
        </w:rPr>
        <mc:AlternateContent>
          <mc:Choice Requires="wps">
            <w:drawing>
              <wp:anchor distT="0" distB="0" distL="114300" distR="114300" simplePos="0" relativeHeight="251665408" behindDoc="0" locked="0" layoutInCell="1" allowOverlap="1">
                <wp:simplePos x="0" y="0"/>
                <wp:positionH relativeFrom="column">
                  <wp:posOffset>1714500</wp:posOffset>
                </wp:positionH>
                <wp:positionV relativeFrom="paragraph">
                  <wp:posOffset>95250</wp:posOffset>
                </wp:positionV>
                <wp:extent cx="1819275" cy="297180"/>
                <wp:effectExtent l="0" t="0" r="9525" b="7620"/>
                <wp:wrapNone/>
                <wp:docPr id="8" name="矩形 4"/>
                <wp:cNvGraphicFramePr/>
                <a:graphic xmlns:a="http://schemas.openxmlformats.org/drawingml/2006/main">
                  <a:graphicData uri="http://schemas.microsoft.com/office/word/2010/wordprocessingShape">
                    <wps:wsp>
                      <wps:cNvSpPr>
                        <a:spLocks noChangeArrowheads="1"/>
                      </wps:cNvSpPr>
                      <wps:spPr bwMode="auto">
                        <a:xfrm>
                          <a:off x="0" y="0"/>
                          <a:ext cx="1819275" cy="297180"/>
                        </a:xfrm>
                        <a:prstGeom prst="rect">
                          <a:avLst/>
                        </a:prstGeom>
                        <a:solidFill>
                          <a:srgbClr val="FFFFFF"/>
                        </a:solidFill>
                        <a:ln w="9525">
                          <a:solidFill>
                            <a:srgbClr val="000000"/>
                          </a:solidFill>
                          <a:miter lim="800000"/>
                        </a:ln>
                      </wps:spPr>
                      <wps:txbx>
                        <w:txbxContent>
                          <w:p>
                            <w:pPr>
                              <w:pStyle w:val="17"/>
                              <w:pBdr>
                                <w:bottom w:val="single" w:color="auto" w:sz="6" w:space="13"/>
                              </w:pBdr>
                              <w:tabs>
                                <w:tab w:val="clear" w:pos="4153"/>
                                <w:tab w:val="clear" w:pos="8306"/>
                              </w:tabs>
                              <w:snapToGrid/>
                              <w:rPr>
                                <w:szCs w:val="24"/>
                              </w:rPr>
                            </w:pPr>
                            <w:r>
                              <w:rPr>
                                <w:rFonts w:hint="eastAsia"/>
                                <w:szCs w:val="24"/>
                              </w:rPr>
                              <w:t>履行药品购销合同</w:t>
                            </w:r>
                          </w:p>
                          <w:p/>
                        </w:txbxContent>
                      </wps:txbx>
                      <wps:bodyPr rot="0" vert="horz" wrap="square" lIns="91440" tIns="45720" rIns="91440" bIns="45720" anchor="t" anchorCtr="0" upright="1">
                        <a:noAutofit/>
                      </wps:bodyPr>
                    </wps:wsp>
                  </a:graphicData>
                </a:graphic>
              </wp:anchor>
            </w:drawing>
          </mc:Choice>
          <mc:Fallback>
            <w:pict>
              <v:rect id="矩形 4" o:spid="_x0000_s1026" o:spt="1" style="position:absolute;left:0pt;margin-left:135pt;margin-top:7.5pt;height:23.4pt;width:143.25pt;z-index:251665408;mso-width-relative:page;mso-height-relative:page;" fillcolor="#FFFFFF" filled="t" stroked="t" coordsize="21600,21600" o:gfxdata="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gnvAC2AAAAAkBAAAPAAAAAAAAAAEAIAAAACIAAABkcnMvZG93&#10;bnJldi54bWxQSwECFAAUAAAACACHTuJAxdBkFDkCAAB6BAAADgAAAAAAAAABACAAAAAnAQAAZHJz&#10;L2Uyb0RvYy54bWxQSwUGAAAAAAYABgBZAQAA0gUAAAAA&#10;">
                <v:fill on="t" focussize="0,0"/>
                <v:stroke color="#000000" miterlimit="8" joinstyle="miter"/>
                <v:imagedata o:title=""/>
                <o:lock v:ext="edit" aspectratio="f"/>
                <v:textbox>
                  <w:txbxContent>
                    <w:p>
                      <w:pPr>
                        <w:pStyle w:val="17"/>
                        <w:pBdr>
                          <w:bottom w:val="single" w:color="auto" w:sz="6" w:space="13"/>
                        </w:pBdr>
                        <w:tabs>
                          <w:tab w:val="clear" w:pos="4153"/>
                          <w:tab w:val="clear" w:pos="8306"/>
                        </w:tabs>
                        <w:snapToGrid/>
                        <w:rPr>
                          <w:szCs w:val="24"/>
                        </w:rPr>
                      </w:pPr>
                      <w:r>
                        <w:rPr>
                          <w:rFonts w:hint="eastAsia"/>
                          <w:szCs w:val="24"/>
                        </w:rPr>
                        <w:t>履行药品购销合同</w:t>
                      </w:r>
                    </w:p>
                    <w:p/>
                  </w:txbxContent>
                </v:textbox>
              </v:rect>
            </w:pict>
          </mc:Fallback>
        </mc:AlternateContent>
      </w: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p>
    <w:p>
      <w:pPr>
        <w:tabs>
          <w:tab w:val="left" w:pos="6000"/>
        </w:tabs>
        <w:rPr>
          <w:rFonts w:ascii="仿宋_GB2312" w:hAnsi="宋体" w:eastAsia="仿宋_GB2312"/>
          <w:kern w:val="0"/>
          <w:sz w:val="24"/>
        </w:rPr>
      </w:pPr>
      <w:r>
        <w:rPr>
          <w:rFonts w:hint="eastAsia" w:ascii="仿宋_GB2312" w:hAnsi="宋体" w:eastAsia="仿宋_GB2312"/>
          <w:kern w:val="0"/>
          <w:sz w:val="24"/>
        </w:rPr>
        <mc:AlternateContent>
          <mc:Choice Requires="wps">
            <w:drawing>
              <wp:anchor distT="0" distB="0" distL="114300" distR="114300" simplePos="0" relativeHeight="251666432" behindDoc="0" locked="0" layoutInCell="1" allowOverlap="1">
                <wp:simplePos x="0" y="0"/>
                <wp:positionH relativeFrom="column">
                  <wp:posOffset>1599565</wp:posOffset>
                </wp:positionH>
                <wp:positionV relativeFrom="paragraph">
                  <wp:posOffset>66675</wp:posOffset>
                </wp:positionV>
                <wp:extent cx="2028825" cy="272415"/>
                <wp:effectExtent l="0" t="0" r="9525" b="0"/>
                <wp:wrapNone/>
                <wp:docPr id="7" name="矩形 3"/>
                <wp:cNvGraphicFramePr/>
                <a:graphic xmlns:a="http://schemas.openxmlformats.org/drawingml/2006/main">
                  <a:graphicData uri="http://schemas.microsoft.com/office/word/2010/wordprocessingShape">
                    <wps:wsp>
                      <wps:cNvSpPr>
                        <a:spLocks noChangeArrowheads="1"/>
                      </wps:cNvSpPr>
                      <wps:spPr bwMode="auto">
                        <a:xfrm>
                          <a:off x="0" y="0"/>
                          <a:ext cx="2028825" cy="272415"/>
                        </a:xfrm>
                        <a:prstGeom prst="rect">
                          <a:avLst/>
                        </a:prstGeom>
                        <a:solidFill>
                          <a:srgbClr val="FFFFFF"/>
                        </a:solidFill>
                        <a:ln w="9525">
                          <a:solidFill>
                            <a:srgbClr val="000000"/>
                          </a:solidFill>
                          <a:miter lim="800000"/>
                        </a:ln>
                      </wps:spPr>
                      <wps:txbx>
                        <w:txbxContent>
                          <w:p>
                            <w:pPr>
                              <w:jc w:val="center"/>
                              <w:rPr>
                                <w:sz w:val="18"/>
                              </w:rPr>
                            </w:pPr>
                            <w:r>
                              <w:rPr>
                                <w:rFonts w:hint="eastAsia"/>
                                <w:sz w:val="18"/>
                              </w:rPr>
                              <w:t>配送和货款结算</w:t>
                            </w:r>
                          </w:p>
                        </w:txbxContent>
                      </wps:txbx>
                      <wps:bodyPr rot="0" vert="horz" wrap="square" lIns="91440" tIns="45720" rIns="91440" bIns="45720" anchor="t" anchorCtr="0" upright="1">
                        <a:noAutofit/>
                      </wps:bodyPr>
                    </wps:wsp>
                  </a:graphicData>
                </a:graphic>
              </wp:anchor>
            </w:drawing>
          </mc:Choice>
          <mc:Fallback>
            <w:pict>
              <v:rect id="矩形 3" o:spid="_x0000_s1026" o:spt="1" style="position:absolute;left:0pt;margin-left:125.95pt;margin-top:5.25pt;height:21.45pt;width:159.75pt;z-index:251666432;mso-width-relative:page;mso-height-relative:page;" fillcolor="#FFFFFF" filled="t" stroked="t" coordsize="21600,21600" o:gfxdata="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Q/9QNgAAAAJAQAADwAAAAAAAAABACAAAAAiAAAAZHJzL2Rvd25yZXYu&#10;eG1sUEsBAhQAFAAAAAgAh07iQHUd52o0AgAAegQAAA4AAAAAAAAAAQAgAAAAJwEAAGRycy9lMm9E&#10;b2MueG1sUEsFBgAAAAAGAAYAWQEAAM0FAAAAAA==&#10;">
                <v:fill on="t" focussize="0,0"/>
                <v:stroke color="#000000" miterlimit="8" joinstyle="miter"/>
                <v:imagedata o:title=""/>
                <o:lock v:ext="edit" aspectratio="f"/>
                <v:textbox>
                  <w:txbxContent>
                    <w:p>
                      <w:pPr>
                        <w:jc w:val="center"/>
                        <w:rPr>
                          <w:sz w:val="18"/>
                        </w:rPr>
                      </w:pPr>
                      <w:r>
                        <w:rPr>
                          <w:rFonts w:hint="eastAsia"/>
                          <w:sz w:val="18"/>
                        </w:rPr>
                        <w:t>配送和货款结算</w:t>
                      </w:r>
                    </w:p>
                  </w:txbxContent>
                </v:textbox>
              </v:rect>
            </w:pict>
          </mc:Fallback>
        </mc:AlternateContent>
      </w:r>
    </w:p>
    <w:p>
      <w:pPr>
        <w:tabs>
          <w:tab w:val="left" w:pos="6000"/>
        </w:tabs>
        <w:rPr>
          <w:rFonts w:ascii="仿宋_GB2312" w:hAnsi="宋体" w:eastAsia="仿宋_GB2312"/>
          <w:kern w:val="0"/>
          <w:sz w:val="24"/>
        </w:rPr>
      </w:pPr>
      <w:r>
        <w:rPr>
          <w:rFonts w:hint="eastAsia" w:ascii="仿宋_GB2312" w:hAnsi="宋体" w:eastAsia="仿宋_GB2312"/>
          <w:kern w:val="0"/>
          <w:sz w:val="24"/>
        </w:rPr>
        <mc:AlternateContent>
          <mc:Choice Requires="wps">
            <w:drawing>
              <wp:anchor distT="0" distB="0" distL="114300" distR="114300" simplePos="0" relativeHeight="251671552" behindDoc="0" locked="0" layoutInCell="1" allowOverlap="1">
                <wp:simplePos x="0" y="0"/>
                <wp:positionH relativeFrom="column">
                  <wp:posOffset>3629025</wp:posOffset>
                </wp:positionH>
                <wp:positionV relativeFrom="paragraph">
                  <wp:posOffset>10795</wp:posOffset>
                </wp:positionV>
                <wp:extent cx="1609725" cy="0"/>
                <wp:effectExtent l="0" t="0" r="0" b="0"/>
                <wp:wrapNone/>
                <wp:docPr id="6"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25400">
                          <a:solidFill>
                            <a:srgbClr val="000000"/>
                          </a:solidFill>
                          <a:round/>
                        </a:ln>
                      </wps:spPr>
                      <wps:bodyPr/>
                    </wps:wsp>
                  </a:graphicData>
                </a:graphic>
              </wp:anchor>
            </w:drawing>
          </mc:Choice>
          <mc:Fallback>
            <w:pict>
              <v:line id="直接连接符 1" o:spid="_x0000_s1026" o:spt="20" style="position:absolute;left:0pt;margin-left:285.75pt;margin-top:0.85pt;height:0pt;width:126.75pt;z-index:251671552;mso-width-relative:page;mso-height-relative:page;" filled="f" stroked="t" coordsize="21600,21600" o:gfxdata="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nUY77VAAAABwEA&#10;AA8AAAAAAAAAAQAgAAAAIgAAAGRycy9kb3ducmV2LnhtbFBLAQIUABQAAAAIAIdO4kAZd2N85AEA&#10;AKsDAAAOAAAAAAAAAAEAIAAAACQBAABkcnMvZTJvRG9jLnhtbFBLBQYAAAAABgAGAFkBAAB6BQAA&#10;AAA=&#10;">
                <v:fill on="f" focussize="0,0"/>
                <v:stroke weight="2pt" color="#000000" joinstyle="round"/>
                <v:imagedata o:title=""/>
                <o:lock v:ext="edit" aspectratio="f"/>
              </v:line>
            </w:pict>
          </mc:Fallback>
        </mc:AlternateContent>
      </w:r>
      <w:r>
        <w:rPr>
          <w:rFonts w:hint="eastAsia" w:ascii="仿宋_GB2312" w:hAnsi="宋体" w:eastAsia="仿宋_GB2312"/>
          <w:kern w:val="0"/>
          <w:sz w:val="24"/>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6985</wp:posOffset>
                </wp:positionV>
                <wp:extent cx="1600200" cy="0"/>
                <wp:effectExtent l="0" t="0" r="0" b="0"/>
                <wp:wrapNone/>
                <wp:docPr id="5"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25400">
                          <a:solidFill>
                            <a:srgbClr val="000000"/>
                          </a:solidFill>
                          <a:round/>
                        </a:ln>
                      </wps:spPr>
                      <wps:bodyPr/>
                    </wps:wsp>
                  </a:graphicData>
                </a:graphic>
              </wp:anchor>
            </w:drawing>
          </mc:Choice>
          <mc:Fallback>
            <w:pict>
              <v:line id="直接连接符 2" o:spid="_x0000_s1026" o:spt="20" style="position:absolute;left:0pt;margin-left:0pt;margin-top:0.55pt;height:0pt;width:126pt;z-index:251673600;mso-width-relative:page;mso-height-relative:page;" filled="f" stroked="t" coordsize="21600,21600" o:gfxdata="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7K+UJdEAAAAEAQAADwAAAAAA&#10;AAABACAAAAAiAAAAZHJzL2Rvd25yZXYueG1sUEsBAhQAFAAAAAgAh07iQP7Cct3hAQAAqwMAAA4A&#10;AAAAAAAAAQAgAAAAIAEAAGRycy9lMm9Eb2MueG1sUEsFBgAAAAAGAAYAWQEAAHMFAAAAAA==&#10;">
                <v:fill on="f" focussize="0,0"/>
                <v:stroke weight="2pt" color="#000000" joinstyle="round"/>
                <v:imagedata o:title=""/>
                <o:lock v:ext="edit" aspectratio="f"/>
              </v:line>
            </w:pict>
          </mc:Fallback>
        </mc:AlternateContent>
      </w:r>
    </w:p>
    <w:p>
      <w:pPr>
        <w:spacing w:line="360" w:lineRule="auto"/>
        <w:jc w:val="center"/>
        <w:rPr>
          <w:rFonts w:ascii="仿宋_GB2312" w:hAnsi="宋体" w:eastAsia="仿宋_GB2312"/>
          <w:kern w:val="0"/>
          <w:sz w:val="24"/>
        </w:rPr>
      </w:pPr>
    </w:p>
    <w:p>
      <w:pPr>
        <w:pStyle w:val="2"/>
        <w:spacing w:line="400" w:lineRule="exact"/>
        <w:jc w:val="center"/>
        <w:rPr>
          <w:sz w:val="32"/>
          <w:szCs w:val="32"/>
        </w:rPr>
      </w:pPr>
      <w:r>
        <w:rPr>
          <w:rFonts w:hint="eastAsia"/>
          <w:sz w:val="32"/>
          <w:szCs w:val="32"/>
        </w:rPr>
        <w:t>第三部分  投标人须知</w:t>
      </w:r>
    </w:p>
    <w:p>
      <w:pPr>
        <w:pStyle w:val="19"/>
        <w:spacing w:line="400" w:lineRule="exact"/>
        <w:rPr>
          <w:rFonts w:ascii="仿宋_GB2312" w:hAnsi="宋体" w:eastAsia="仿宋_GB2312"/>
          <w:b w:val="0"/>
          <w:bCs w:val="0"/>
          <w:kern w:val="0"/>
          <w:sz w:val="24"/>
          <w:szCs w:val="24"/>
        </w:rPr>
      </w:pPr>
      <w:r>
        <w:rPr>
          <w:rFonts w:hint="eastAsia" w:ascii="仿宋_GB2312" w:hAnsi="宋体" w:eastAsia="仿宋_GB2312"/>
          <w:b w:val="0"/>
          <w:bCs w:val="0"/>
          <w:kern w:val="0"/>
          <w:sz w:val="24"/>
          <w:szCs w:val="24"/>
        </w:rPr>
        <w:t>前附表</w:t>
      </w:r>
    </w:p>
    <w:tbl>
      <w:tblPr>
        <w:tblStyle w:val="2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1"/>
        <w:gridCol w:w="2410"/>
        <w:gridCol w:w="6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序号</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名  称</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1</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项目名称</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宋体" w:eastAsia="仿宋_GB2312"/>
                <w:kern w:val="0"/>
                <w:sz w:val="24"/>
              </w:rPr>
            </w:pPr>
            <w:r>
              <w:rPr>
                <w:rFonts w:hint="eastAsia" w:ascii="仿宋_GB2312" w:hAnsi="宋体" w:eastAsia="仿宋_GB2312"/>
                <w:kern w:val="0"/>
                <w:sz w:val="24"/>
              </w:rPr>
              <w:t>中药配方颗粒及相关伴随服务项目公开招标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2</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采购内容</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宋体" w:eastAsia="仿宋_GB2312"/>
                <w:kern w:val="0"/>
                <w:sz w:val="24"/>
              </w:rPr>
            </w:pPr>
            <w:r>
              <w:rPr>
                <w:rFonts w:hint="eastAsia" w:ascii="仿宋_GB2312" w:hAnsi="宋体" w:eastAsia="仿宋_GB2312"/>
                <w:kern w:val="0"/>
                <w:sz w:val="24"/>
              </w:rPr>
              <w:t>中药配方颗粒及相关伴随服务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3</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预估合同</w:t>
            </w:r>
            <w:r>
              <w:rPr>
                <w:rFonts w:ascii="仿宋_GB2312" w:hAnsi="宋体" w:eastAsia="仿宋_GB2312"/>
                <w:kern w:val="0"/>
                <w:sz w:val="24"/>
              </w:rPr>
              <w:t>金额</w:t>
            </w:r>
          </w:p>
        </w:tc>
        <w:tc>
          <w:tcPr>
            <w:tcW w:w="6460" w:type="dxa"/>
            <w:tcBorders>
              <w:top w:val="single" w:color="auto" w:sz="4" w:space="0"/>
              <w:left w:val="single" w:color="auto" w:sz="4" w:space="0"/>
              <w:bottom w:val="single" w:color="auto" w:sz="4" w:space="0"/>
              <w:right w:val="single" w:color="auto" w:sz="4" w:space="0"/>
            </w:tcBorders>
            <w:vAlign w:val="center"/>
          </w:tcPr>
          <w:p>
            <w:pPr>
              <w:widowControl/>
              <w:rPr>
                <w:rFonts w:ascii="仿宋_GB2312" w:hAnsi="宋体" w:eastAsia="仿宋_GB2312"/>
                <w:kern w:val="0"/>
                <w:sz w:val="24"/>
              </w:rPr>
            </w:pPr>
            <w:r>
              <w:rPr>
                <w:rFonts w:hint="eastAsia" w:ascii="仿宋_GB2312" w:hAnsi="宋体" w:eastAsia="仿宋_GB2312"/>
                <w:kern w:val="0"/>
                <w:sz w:val="24"/>
              </w:rPr>
              <w:t>2</w:t>
            </w:r>
            <w:r>
              <w:rPr>
                <w:rFonts w:ascii="仿宋_GB2312" w:hAnsi="宋体" w:eastAsia="仿宋_GB2312"/>
                <w:kern w:val="0"/>
                <w:sz w:val="24"/>
              </w:rPr>
              <w:t>70</w:t>
            </w:r>
            <w:r>
              <w:rPr>
                <w:rFonts w:hint="eastAsia" w:ascii="仿宋_GB2312" w:hAnsi="宋体" w:eastAsia="仿宋_GB2312"/>
                <w:kern w:val="0"/>
                <w:sz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4</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投标报价</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宋体" w:eastAsia="仿宋_GB2312"/>
                <w:kern w:val="0"/>
                <w:sz w:val="24"/>
              </w:rPr>
            </w:pPr>
            <w:r>
              <w:rPr>
                <w:rFonts w:ascii="仿宋_GB2312" w:hAnsi="宋体" w:eastAsia="仿宋_GB2312"/>
                <w:kern w:val="0"/>
                <w:sz w:val="24"/>
              </w:rPr>
              <w:t>1、</w:t>
            </w:r>
            <w:r>
              <w:rPr>
                <w:rFonts w:hint="eastAsia" w:ascii="仿宋_GB2312" w:hAnsi="宋体" w:eastAsia="仿宋_GB2312"/>
                <w:kern w:val="0"/>
                <w:sz w:val="24"/>
              </w:rPr>
              <w:t>参照绍兴市医药行业协会发布的每克配方颗粒</w:t>
            </w:r>
            <w:r>
              <w:rPr>
                <w:rFonts w:hint="eastAsia" w:ascii="仿宋_GB2312" w:hAnsi="宋体" w:eastAsia="仿宋_GB2312"/>
                <w:b/>
                <w:bCs/>
                <w:kern w:val="0"/>
                <w:sz w:val="24"/>
              </w:rPr>
              <w:t>最高零售价</w:t>
            </w:r>
            <w:r>
              <w:rPr>
                <w:rFonts w:hint="eastAsia" w:ascii="仿宋_GB2312" w:hAnsi="宋体" w:eastAsia="仿宋_GB2312"/>
                <w:kern w:val="0"/>
                <w:sz w:val="24"/>
              </w:rPr>
              <w:t>为基础，按统一扣率报价且不得超出80%</w:t>
            </w:r>
            <w:r>
              <w:rPr>
                <w:rFonts w:ascii="仿宋_GB2312" w:hAnsi="宋体" w:eastAsia="仿宋_GB2312"/>
                <w:kern w:val="0"/>
                <w:sz w:val="24"/>
              </w:rPr>
              <w:t>；</w:t>
            </w:r>
          </w:p>
          <w:p>
            <w:pPr>
              <w:snapToGrid w:val="0"/>
              <w:spacing w:line="360" w:lineRule="auto"/>
              <w:rPr>
                <w:rFonts w:ascii="仿宋_GB2312" w:hAnsi="宋体" w:eastAsia="仿宋_GB2312"/>
                <w:kern w:val="0"/>
                <w:sz w:val="24"/>
              </w:rPr>
            </w:pPr>
            <w:r>
              <w:rPr>
                <w:rFonts w:ascii="仿宋_GB2312" w:hAnsi="宋体" w:eastAsia="仿宋_GB2312"/>
                <w:kern w:val="0"/>
                <w:sz w:val="24"/>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5</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样品</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宋体" w:eastAsia="仿宋_GB2312"/>
                <w:kern w:val="0"/>
                <w:sz w:val="24"/>
              </w:rPr>
            </w:pPr>
            <w:r>
              <w:rPr>
                <w:rFonts w:ascii="仿宋_GB2312" w:hAnsi="宋体" w:eastAsia="仿宋_GB2312"/>
                <w:b/>
                <w:bCs/>
                <w:kern w:val="0"/>
                <w:sz w:val="24"/>
              </w:rPr>
              <w:fldChar w:fldCharType="begin"/>
            </w:r>
            <w:r>
              <w:rPr>
                <w:rFonts w:ascii="仿宋_GB2312" w:hAnsi="宋体" w:eastAsia="仿宋_GB2312"/>
                <w:b/>
                <w:bCs/>
                <w:kern w:val="0"/>
                <w:sz w:val="24"/>
              </w:rPr>
              <w:instrText xml:space="preserve"> eq \o\ac(□)</w:instrText>
            </w:r>
            <w:r>
              <w:rPr>
                <w:rFonts w:ascii="仿宋_GB2312" w:hAnsi="宋体" w:eastAsia="仿宋_GB2312"/>
                <w:b/>
                <w:bCs/>
                <w:kern w:val="0"/>
                <w:sz w:val="24"/>
              </w:rPr>
              <w:fldChar w:fldCharType="end"/>
            </w:r>
            <w:r>
              <w:rPr>
                <w:rFonts w:ascii="仿宋_GB2312" w:hAnsi="宋体" w:eastAsia="仿宋_GB2312"/>
                <w:kern w:val="0"/>
                <w:sz w:val="24"/>
              </w:rPr>
              <w:t xml:space="preserve"> 提供</w:t>
            </w:r>
            <w:r>
              <w:rPr>
                <w:rFonts w:hint="eastAsia" w:ascii="仿宋_GB2312" w:hAnsi="宋体" w:eastAsia="仿宋_GB2312"/>
                <w:kern w:val="0"/>
                <w:sz w:val="24"/>
              </w:rPr>
              <w:t xml:space="preserve">   </w:t>
            </w:r>
            <w:r>
              <w:rPr>
                <w:rFonts w:ascii="仿宋_GB2312" w:hAnsi="宋体" w:eastAsia="仿宋_GB2312"/>
                <w:kern w:val="0"/>
                <w:sz w:val="24"/>
              </w:rPr>
              <w:sym w:font="Wingdings 2" w:char="0052"/>
            </w:r>
            <w:r>
              <w:rPr>
                <w:rFonts w:ascii="仿宋_GB2312" w:hAnsi="宋体" w:eastAsia="仿宋_GB2312"/>
                <w:kern w:val="0"/>
                <w:sz w:val="24"/>
              </w:rPr>
              <w:t xml:space="preserve"> 不提供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6</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演示</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宋体" w:eastAsia="仿宋_GB2312"/>
                <w:kern w:val="0"/>
                <w:sz w:val="24"/>
              </w:rPr>
            </w:pPr>
            <w:r>
              <w:rPr>
                <w:rFonts w:ascii="仿宋_GB2312" w:hAnsi="宋体" w:eastAsia="仿宋_GB2312"/>
                <w:b/>
                <w:bCs/>
                <w:kern w:val="0"/>
                <w:sz w:val="24"/>
              </w:rPr>
              <w:fldChar w:fldCharType="begin"/>
            </w:r>
            <w:r>
              <w:rPr>
                <w:rFonts w:ascii="仿宋_GB2312" w:hAnsi="宋体" w:eastAsia="仿宋_GB2312"/>
                <w:b/>
                <w:bCs/>
                <w:kern w:val="0"/>
                <w:sz w:val="24"/>
              </w:rPr>
              <w:instrText xml:space="preserve"> eq \o\ac(□)</w:instrText>
            </w:r>
            <w:r>
              <w:rPr>
                <w:rFonts w:ascii="仿宋_GB2312" w:hAnsi="宋体" w:eastAsia="仿宋_GB2312"/>
                <w:b/>
                <w:bCs/>
                <w:kern w:val="0"/>
                <w:sz w:val="24"/>
              </w:rPr>
              <w:fldChar w:fldCharType="end"/>
            </w:r>
            <w:r>
              <w:rPr>
                <w:rFonts w:hint="eastAsia" w:ascii="仿宋_GB2312" w:hAnsi="宋体" w:eastAsia="仿宋_GB2312"/>
                <w:b/>
                <w:bCs/>
                <w:kern w:val="0"/>
                <w:sz w:val="24"/>
              </w:rPr>
              <w:t xml:space="preserve"> </w:t>
            </w:r>
            <w:r>
              <w:rPr>
                <w:rFonts w:ascii="仿宋_GB2312" w:hAnsi="宋体" w:eastAsia="仿宋_GB2312"/>
                <w:kern w:val="0"/>
                <w:sz w:val="24"/>
              </w:rPr>
              <w:t>要求</w:t>
            </w:r>
            <w:r>
              <w:rPr>
                <w:rFonts w:hint="eastAsia" w:ascii="仿宋_GB2312" w:hAnsi="宋体" w:eastAsia="仿宋_GB2312"/>
                <w:kern w:val="0"/>
                <w:sz w:val="24"/>
              </w:rPr>
              <w:t xml:space="preserve">   </w:t>
            </w:r>
            <w:r>
              <w:rPr>
                <w:rFonts w:ascii="仿宋_GB2312" w:hAnsi="宋体" w:eastAsia="仿宋_GB2312"/>
                <w:kern w:val="0"/>
                <w:sz w:val="24"/>
              </w:rPr>
              <w:sym w:font="Wingdings 2" w:char="0052"/>
            </w:r>
            <w:r>
              <w:rPr>
                <w:rFonts w:ascii="仿宋_GB2312" w:hAnsi="宋体" w:eastAsia="仿宋_GB2312"/>
                <w:kern w:val="0"/>
                <w:sz w:val="24"/>
              </w:rPr>
              <w:t xml:space="preserve"> 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7</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招标文件澄清</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宋体" w:eastAsia="仿宋_GB2312"/>
                <w:kern w:val="0"/>
                <w:sz w:val="24"/>
              </w:rPr>
            </w:pPr>
            <w:r>
              <w:rPr>
                <w:rFonts w:ascii="仿宋_GB2312" w:hAnsi="宋体" w:eastAsia="仿宋_GB2312"/>
                <w:kern w:val="0"/>
                <w:sz w:val="24"/>
              </w:rPr>
              <w:t>投标人如认为招标文件表述不清晰、存在前后矛盾等内容的，应当在投标截止日15天前以书面形式要求招标采购单位作出书面澄清。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8</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投标文件组成</w:t>
            </w:r>
          </w:p>
        </w:tc>
        <w:tc>
          <w:tcPr>
            <w:tcW w:w="64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_GB2312" w:hAnsi="宋体" w:eastAsia="仿宋_GB2312"/>
                <w:kern w:val="0"/>
                <w:sz w:val="24"/>
              </w:rPr>
            </w:pPr>
            <w:r>
              <w:rPr>
                <w:rFonts w:ascii="仿宋_GB2312" w:hAnsi="宋体" w:eastAsia="仿宋_GB2312"/>
                <w:kern w:val="0"/>
                <w:sz w:val="24"/>
              </w:rPr>
              <w:t>1、资格证明文件正本 1 份；副本 4</w:t>
            </w:r>
            <w:r>
              <w:rPr>
                <w:rFonts w:hint="eastAsia" w:ascii="仿宋_GB2312" w:hAnsi="宋体" w:eastAsia="仿宋_GB2312"/>
                <w:kern w:val="0"/>
                <w:sz w:val="24"/>
              </w:rPr>
              <w:t xml:space="preserve"> </w:t>
            </w:r>
            <w:r>
              <w:rPr>
                <w:rFonts w:ascii="仿宋_GB2312" w:hAnsi="宋体" w:eastAsia="仿宋_GB2312"/>
                <w:kern w:val="0"/>
                <w:sz w:val="24"/>
              </w:rPr>
              <w:t>份。</w:t>
            </w:r>
          </w:p>
          <w:p>
            <w:pPr>
              <w:autoSpaceDE w:val="0"/>
              <w:autoSpaceDN w:val="0"/>
              <w:snapToGrid w:val="0"/>
              <w:spacing w:line="360" w:lineRule="auto"/>
              <w:textAlignment w:val="bottom"/>
              <w:rPr>
                <w:rFonts w:ascii="仿宋_GB2312" w:hAnsi="宋体" w:eastAsia="仿宋_GB2312"/>
                <w:kern w:val="0"/>
                <w:sz w:val="24"/>
              </w:rPr>
            </w:pPr>
            <w:r>
              <w:rPr>
                <w:rFonts w:ascii="仿宋_GB2312" w:hAnsi="宋体" w:eastAsia="仿宋_GB2312"/>
                <w:kern w:val="0"/>
                <w:sz w:val="24"/>
              </w:rPr>
              <w:t>2、技术标文件正本 1 份；副本 4</w:t>
            </w:r>
            <w:r>
              <w:rPr>
                <w:rFonts w:hint="eastAsia" w:ascii="仿宋_GB2312" w:hAnsi="宋体" w:eastAsia="仿宋_GB2312"/>
                <w:kern w:val="0"/>
                <w:sz w:val="24"/>
              </w:rPr>
              <w:t xml:space="preserve"> </w:t>
            </w:r>
            <w:r>
              <w:rPr>
                <w:rFonts w:ascii="仿宋_GB2312" w:hAnsi="宋体" w:eastAsia="仿宋_GB2312"/>
                <w:kern w:val="0"/>
                <w:sz w:val="24"/>
              </w:rPr>
              <w:t>份。</w:t>
            </w:r>
          </w:p>
          <w:p>
            <w:pPr>
              <w:autoSpaceDE w:val="0"/>
              <w:autoSpaceDN w:val="0"/>
              <w:snapToGrid w:val="0"/>
              <w:spacing w:line="360" w:lineRule="auto"/>
              <w:textAlignment w:val="bottom"/>
              <w:rPr>
                <w:rFonts w:ascii="仿宋_GB2312" w:hAnsi="宋体" w:eastAsia="仿宋_GB2312"/>
                <w:kern w:val="0"/>
                <w:sz w:val="24"/>
              </w:rPr>
            </w:pPr>
            <w:r>
              <w:rPr>
                <w:rFonts w:hint="eastAsia" w:ascii="仿宋_GB2312" w:hAnsi="宋体" w:eastAsia="仿宋_GB2312"/>
                <w:kern w:val="0"/>
                <w:sz w:val="24"/>
              </w:rPr>
              <w:t>3、报价</w:t>
            </w:r>
            <w:r>
              <w:rPr>
                <w:rFonts w:ascii="仿宋_GB2312" w:hAnsi="宋体" w:eastAsia="仿宋_GB2312"/>
                <w:kern w:val="0"/>
                <w:sz w:val="24"/>
              </w:rPr>
              <w:t>文件正本 1 份；副本</w:t>
            </w:r>
            <w:r>
              <w:rPr>
                <w:rFonts w:hint="eastAsia" w:ascii="仿宋_GB2312" w:hAnsi="宋体" w:eastAsia="仿宋_GB2312"/>
                <w:kern w:val="0"/>
                <w:sz w:val="24"/>
              </w:rPr>
              <w:t xml:space="preserve"> </w:t>
            </w:r>
            <w:r>
              <w:rPr>
                <w:rFonts w:ascii="仿宋_GB2312" w:hAnsi="宋体" w:eastAsia="仿宋_GB2312"/>
                <w:kern w:val="0"/>
                <w:sz w:val="24"/>
              </w:rPr>
              <w:t>4</w:t>
            </w:r>
            <w:r>
              <w:rPr>
                <w:rFonts w:hint="eastAsia" w:ascii="仿宋_GB2312" w:hAnsi="宋体" w:eastAsia="仿宋_GB2312"/>
                <w:kern w:val="0"/>
                <w:sz w:val="24"/>
              </w:rPr>
              <w:t xml:space="preserve"> </w:t>
            </w:r>
            <w:r>
              <w:rPr>
                <w:rFonts w:ascii="仿宋_GB2312" w:hAnsi="宋体" w:eastAsia="仿宋_GB2312"/>
                <w:kern w:val="0"/>
                <w:sz w:val="24"/>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9</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投标文件</w:t>
            </w:r>
          </w:p>
          <w:p>
            <w:pPr>
              <w:snapToGrid w:val="0"/>
              <w:spacing w:line="360" w:lineRule="auto"/>
              <w:jc w:val="center"/>
              <w:rPr>
                <w:rFonts w:ascii="仿宋_GB2312" w:hAnsi="宋体" w:eastAsia="仿宋_GB2312"/>
                <w:kern w:val="0"/>
                <w:sz w:val="24"/>
              </w:rPr>
            </w:pPr>
            <w:r>
              <w:rPr>
                <w:rFonts w:ascii="仿宋_GB2312" w:hAnsi="宋体" w:eastAsia="仿宋_GB2312"/>
                <w:kern w:val="0"/>
                <w:sz w:val="24"/>
              </w:rPr>
              <w:t>装订要求</w:t>
            </w:r>
          </w:p>
        </w:tc>
        <w:tc>
          <w:tcPr>
            <w:tcW w:w="64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仿宋_GB2312" w:hAnsi="宋体" w:eastAsia="仿宋_GB2312"/>
                <w:kern w:val="0"/>
                <w:sz w:val="24"/>
              </w:rPr>
            </w:pPr>
            <w:r>
              <w:rPr>
                <w:rFonts w:ascii="仿宋_GB2312" w:hAnsi="宋体" w:eastAsia="仿宋_GB2312"/>
                <w:kern w:val="0"/>
                <w:sz w:val="24"/>
              </w:rPr>
              <w:t>资格证明文件、技术标文件、</w:t>
            </w:r>
            <w:r>
              <w:rPr>
                <w:rFonts w:hint="eastAsia" w:ascii="仿宋_GB2312" w:hAnsi="宋体" w:eastAsia="仿宋_GB2312"/>
                <w:kern w:val="0"/>
                <w:sz w:val="24"/>
              </w:rPr>
              <w:t>报价</w:t>
            </w:r>
            <w:r>
              <w:rPr>
                <w:rFonts w:ascii="仿宋_GB2312" w:hAnsi="宋体" w:eastAsia="仿宋_GB2312"/>
                <w:kern w:val="0"/>
                <w:sz w:val="24"/>
              </w:rPr>
              <w:t>文件须分别装订成册，采用胶装，不得采用活页装订。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10</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投标文件</w:t>
            </w:r>
          </w:p>
          <w:p>
            <w:pPr>
              <w:snapToGrid w:val="0"/>
              <w:spacing w:line="360" w:lineRule="auto"/>
              <w:jc w:val="center"/>
              <w:rPr>
                <w:rFonts w:ascii="仿宋_GB2312" w:hAnsi="宋体" w:eastAsia="仿宋_GB2312"/>
                <w:kern w:val="0"/>
                <w:sz w:val="24"/>
              </w:rPr>
            </w:pPr>
            <w:r>
              <w:rPr>
                <w:rFonts w:ascii="仿宋_GB2312" w:hAnsi="宋体" w:eastAsia="仿宋_GB2312"/>
                <w:kern w:val="0"/>
                <w:sz w:val="24"/>
              </w:rPr>
              <w:t>密封要求</w:t>
            </w:r>
          </w:p>
        </w:tc>
        <w:tc>
          <w:tcPr>
            <w:tcW w:w="64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_GB2312" w:hAnsi="宋体" w:eastAsia="仿宋_GB2312"/>
                <w:kern w:val="0"/>
                <w:sz w:val="24"/>
              </w:rPr>
            </w:pPr>
            <w:r>
              <w:rPr>
                <w:rFonts w:ascii="仿宋_GB2312" w:hAnsi="宋体" w:eastAsia="仿宋_GB2312"/>
                <w:kern w:val="0"/>
                <w:sz w:val="24"/>
              </w:rPr>
              <w:t>投标人应按资格证明文件、技术标文件、</w:t>
            </w:r>
            <w:r>
              <w:rPr>
                <w:rFonts w:hint="eastAsia" w:ascii="仿宋_GB2312" w:hAnsi="宋体" w:eastAsia="仿宋_GB2312"/>
                <w:kern w:val="0"/>
                <w:sz w:val="24"/>
              </w:rPr>
              <w:t>报价文件三</w:t>
            </w:r>
            <w:r>
              <w:rPr>
                <w:rFonts w:ascii="仿宋_GB2312" w:hAnsi="宋体" w:eastAsia="仿宋_GB2312"/>
                <w:kern w:val="0"/>
                <w:sz w:val="24"/>
              </w:rPr>
              <w:t>部分分别包装和密封。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11</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投标截止时间和地点</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宋体" w:eastAsia="仿宋_GB2312"/>
                <w:kern w:val="0"/>
                <w:sz w:val="24"/>
              </w:rPr>
            </w:pPr>
            <w:r>
              <w:rPr>
                <w:rFonts w:ascii="仿宋_GB2312" w:hAnsi="宋体" w:eastAsia="仿宋_GB2312"/>
                <w:kern w:val="0"/>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12</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开标时间和地点</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_GB2312" w:hAnsi="宋体" w:eastAsia="仿宋_GB2312"/>
                <w:kern w:val="0"/>
                <w:sz w:val="24"/>
              </w:rPr>
            </w:pPr>
            <w:r>
              <w:rPr>
                <w:rFonts w:ascii="仿宋_GB2312" w:hAnsi="宋体" w:eastAsia="仿宋_GB2312"/>
                <w:kern w:val="0"/>
                <w:sz w:val="24"/>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13</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评标办法</w:t>
            </w:r>
          </w:p>
        </w:tc>
        <w:tc>
          <w:tcPr>
            <w:tcW w:w="64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_GB2312" w:hAnsi="宋体" w:eastAsia="仿宋_GB2312"/>
                <w:kern w:val="0"/>
                <w:sz w:val="24"/>
              </w:rPr>
            </w:pPr>
            <w:r>
              <w:rPr>
                <w:rFonts w:ascii="仿宋_GB2312" w:hAnsi="宋体" w:eastAsia="仿宋_GB2312"/>
                <w:kern w:val="0"/>
                <w:sz w:val="24"/>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14</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公告媒体</w:t>
            </w:r>
          </w:p>
        </w:tc>
        <w:tc>
          <w:tcPr>
            <w:tcW w:w="64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_GB2312" w:hAnsi="宋体" w:eastAsia="仿宋_GB2312"/>
                <w:kern w:val="0"/>
                <w:sz w:val="24"/>
              </w:rPr>
            </w:pPr>
            <w:r>
              <w:rPr>
                <w:rFonts w:ascii="仿宋_GB2312" w:hAnsi="宋体" w:eastAsia="仿宋_GB2312"/>
                <w:kern w:val="0"/>
                <w:sz w:val="24"/>
              </w:rPr>
              <w:t>浙江省政府采购网</w:t>
            </w:r>
            <w:r>
              <w:rPr>
                <w:rFonts w:hint="eastAsia" w:ascii="仿宋_GB2312" w:hAnsi="宋体" w:eastAsia="仿宋_GB2312"/>
                <w:kern w:val="0"/>
                <w:sz w:val="24"/>
              </w:rPr>
              <w:t>、平阳县卫生健康局官网、平阳县人民医院官网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15</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投标有效期</w:t>
            </w:r>
          </w:p>
        </w:tc>
        <w:tc>
          <w:tcPr>
            <w:tcW w:w="64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_GB2312" w:hAnsi="宋体" w:eastAsia="仿宋_GB2312"/>
                <w:kern w:val="0"/>
                <w:sz w:val="24"/>
              </w:rPr>
            </w:pPr>
            <w:r>
              <w:rPr>
                <w:rFonts w:ascii="仿宋_GB2312" w:hAnsi="宋体" w:eastAsia="仿宋_GB2312"/>
                <w:kern w:val="0"/>
                <w:sz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7"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16</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代理服务费</w:t>
            </w:r>
          </w:p>
        </w:tc>
        <w:tc>
          <w:tcPr>
            <w:tcW w:w="64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left="360" w:hanging="360" w:hangingChars="150"/>
              <w:rPr>
                <w:rFonts w:ascii="仿宋_GB2312" w:hAnsi="宋体" w:eastAsia="仿宋_GB2312"/>
                <w:kern w:val="0"/>
                <w:sz w:val="24"/>
              </w:rPr>
            </w:pPr>
            <w:r>
              <w:rPr>
                <w:rFonts w:ascii="仿宋_GB2312" w:hAnsi="宋体" w:eastAsia="仿宋_GB2312"/>
                <w:kern w:val="0"/>
                <w:sz w:val="24"/>
              </w:rPr>
              <w:t>1、本项目代理服务费</w:t>
            </w:r>
            <w:r>
              <w:rPr>
                <w:rFonts w:hint="eastAsia" w:ascii="仿宋_GB2312" w:hAnsi="宋体" w:eastAsia="仿宋_GB2312"/>
                <w:kern w:val="0"/>
                <w:sz w:val="24"/>
              </w:rPr>
              <w:t>参照</w:t>
            </w:r>
            <w:r>
              <w:rPr>
                <w:rFonts w:ascii="仿宋_GB2312" w:hAnsi="宋体" w:eastAsia="仿宋_GB2312"/>
                <w:kern w:val="0"/>
                <w:sz w:val="24"/>
              </w:rPr>
              <w:t>计价格【2002】1980号文规定</w:t>
            </w:r>
            <w:r>
              <w:rPr>
                <w:rFonts w:hint="eastAsia" w:ascii="仿宋_GB2312" w:hAnsi="宋体" w:eastAsia="仿宋_GB2312"/>
                <w:kern w:val="0"/>
                <w:sz w:val="24"/>
              </w:rPr>
              <w:t>标准的80%向中标供应商计取，成交金额按合同预估金额计。</w:t>
            </w:r>
          </w:p>
          <w:p>
            <w:pPr>
              <w:snapToGrid w:val="0"/>
              <w:spacing w:line="360" w:lineRule="auto"/>
              <w:rPr>
                <w:rFonts w:ascii="仿宋_GB2312" w:hAnsi="宋体" w:eastAsia="仿宋_GB2312"/>
                <w:kern w:val="0"/>
                <w:sz w:val="24"/>
              </w:rPr>
            </w:pPr>
            <w:r>
              <w:rPr>
                <w:rFonts w:ascii="仿宋_GB2312" w:hAnsi="宋体" w:eastAsia="仿宋_GB2312"/>
                <w:kern w:val="0"/>
                <w:sz w:val="24"/>
              </w:rPr>
              <w:t>2、代理服务费支付：</w:t>
            </w:r>
          </w:p>
          <w:p>
            <w:pPr>
              <w:snapToGrid w:val="0"/>
              <w:spacing w:line="360" w:lineRule="auto"/>
              <w:rPr>
                <w:rFonts w:ascii="仿宋_GB2312" w:hAnsi="宋体" w:eastAsia="仿宋_GB2312"/>
                <w:kern w:val="0"/>
                <w:sz w:val="24"/>
              </w:rPr>
            </w:pPr>
            <w:r>
              <w:rPr>
                <w:rFonts w:ascii="仿宋_GB2312" w:hAnsi="宋体" w:eastAsia="仿宋_GB2312"/>
                <w:kern w:val="0"/>
                <w:sz w:val="24"/>
              </w:rPr>
              <w:t>① 代理服务费缴纳形式：</w:t>
            </w:r>
            <w:r>
              <w:rPr>
                <w:rFonts w:hint="eastAsia" w:ascii="仿宋_GB2312" w:hAnsi="宋体" w:eastAsia="仿宋_GB2312"/>
                <w:kern w:val="0"/>
                <w:sz w:val="24"/>
              </w:rPr>
              <w:t>银行转账</w:t>
            </w:r>
          </w:p>
          <w:p>
            <w:pPr>
              <w:snapToGrid w:val="0"/>
              <w:spacing w:line="360" w:lineRule="auto"/>
              <w:rPr>
                <w:rFonts w:ascii="仿宋_GB2312" w:hAnsi="宋体" w:eastAsia="仿宋_GB2312"/>
                <w:kern w:val="0"/>
                <w:sz w:val="24"/>
              </w:rPr>
            </w:pPr>
            <w:r>
              <w:rPr>
                <w:rFonts w:ascii="仿宋_GB2312" w:hAnsi="宋体" w:eastAsia="仿宋_GB2312"/>
                <w:kern w:val="0"/>
                <w:sz w:val="24"/>
              </w:rPr>
              <w:t>② 代理服务费汇入以下账户 ：</w:t>
            </w:r>
          </w:p>
          <w:p>
            <w:pPr>
              <w:spacing w:line="360" w:lineRule="auto"/>
              <w:ind w:firstLine="422" w:firstLineChars="176"/>
              <w:rPr>
                <w:rFonts w:ascii="仿宋_GB2312" w:hAnsi="宋体" w:eastAsia="仿宋_GB2312"/>
                <w:kern w:val="0"/>
                <w:sz w:val="24"/>
              </w:rPr>
            </w:pPr>
            <w:r>
              <w:rPr>
                <w:rFonts w:hint="eastAsia" w:ascii="仿宋_GB2312" w:hAnsi="宋体" w:eastAsia="仿宋_GB2312"/>
                <w:kern w:val="0"/>
                <w:sz w:val="24"/>
              </w:rPr>
              <w:t>开户名称：浙江社发项目管理有限公司</w:t>
            </w:r>
          </w:p>
          <w:p>
            <w:pPr>
              <w:spacing w:line="360" w:lineRule="auto"/>
              <w:ind w:firstLine="422" w:firstLineChars="176"/>
              <w:rPr>
                <w:rFonts w:ascii="仿宋_GB2312" w:hAnsi="宋体" w:eastAsia="仿宋_GB2312"/>
                <w:kern w:val="0"/>
                <w:sz w:val="24"/>
              </w:rPr>
            </w:pPr>
            <w:r>
              <w:rPr>
                <w:rFonts w:hint="eastAsia" w:ascii="仿宋_GB2312" w:hAnsi="宋体" w:eastAsia="仿宋_GB2312"/>
                <w:kern w:val="0"/>
                <w:sz w:val="24"/>
              </w:rPr>
              <w:t>开户行：招商银行凤起支行  账号：5719 1191 2410 201</w:t>
            </w:r>
          </w:p>
          <w:p>
            <w:pPr>
              <w:autoSpaceDE w:val="0"/>
              <w:autoSpaceDN w:val="0"/>
              <w:snapToGrid w:val="0"/>
              <w:spacing w:line="360" w:lineRule="auto"/>
              <w:ind w:left="360" w:hanging="360" w:hangingChars="150"/>
              <w:textAlignment w:val="bottom"/>
              <w:rPr>
                <w:rFonts w:ascii="仿宋_GB2312" w:hAnsi="宋体" w:eastAsia="仿宋_GB2312"/>
                <w:kern w:val="0"/>
                <w:sz w:val="24"/>
              </w:rPr>
            </w:pPr>
            <w:r>
              <w:rPr>
                <w:rFonts w:ascii="仿宋_GB2312" w:hAnsi="宋体" w:eastAsia="仿宋_GB2312"/>
                <w:kern w:val="0"/>
                <w:sz w:val="24"/>
              </w:rPr>
              <w:t>3、增值税发票开票资料：单位名称、税号（统一社会信用代码）、开户行名称、账号、地址及联系电话。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17</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解释权</w:t>
            </w:r>
          </w:p>
        </w:tc>
        <w:tc>
          <w:tcPr>
            <w:tcW w:w="64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_GB2312" w:hAnsi="宋体" w:eastAsia="仿宋_GB2312"/>
                <w:kern w:val="0"/>
                <w:sz w:val="24"/>
              </w:rPr>
            </w:pPr>
            <w:r>
              <w:rPr>
                <w:rFonts w:ascii="仿宋_GB2312" w:hAnsi="宋体" w:eastAsia="仿宋_GB2312"/>
                <w:kern w:val="0"/>
                <w:sz w:val="24"/>
              </w:rPr>
              <w:t>本招标文件的解释权属于</w:t>
            </w:r>
            <w:r>
              <w:rPr>
                <w:rFonts w:hint="eastAsia" w:ascii="仿宋_GB2312" w:hAnsi="宋体" w:eastAsia="仿宋_GB2312"/>
                <w:kern w:val="0"/>
                <w:sz w:val="24"/>
              </w:rPr>
              <w:t>招标人</w:t>
            </w:r>
            <w:r>
              <w:rPr>
                <w:rFonts w:ascii="仿宋_GB2312" w:hAnsi="宋体" w:eastAsia="仿宋_GB2312"/>
                <w:kern w:val="0"/>
                <w:sz w:val="24"/>
              </w:rPr>
              <w:t>和</w:t>
            </w:r>
            <w:r>
              <w:rPr>
                <w:rFonts w:hint="eastAsia" w:ascii="仿宋_GB2312" w:hAnsi="宋体" w:eastAsia="仿宋_GB2312"/>
                <w:kern w:val="0"/>
                <w:sz w:val="24"/>
              </w:rPr>
              <w:t>招标</w:t>
            </w:r>
            <w:r>
              <w:rPr>
                <w:rFonts w:ascii="仿宋_GB2312" w:hAnsi="宋体" w:eastAsia="仿宋_GB2312"/>
                <w:kern w:val="0"/>
                <w:sz w:val="24"/>
              </w:rPr>
              <w:t>代理机构。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18</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正副本内容一致</w:t>
            </w:r>
          </w:p>
        </w:tc>
        <w:tc>
          <w:tcPr>
            <w:tcW w:w="64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_GB2312" w:hAnsi="宋体" w:eastAsia="仿宋_GB2312"/>
                <w:kern w:val="0"/>
                <w:sz w:val="24"/>
              </w:rPr>
            </w:pPr>
            <w:r>
              <w:rPr>
                <w:rFonts w:ascii="仿宋_GB2312" w:hAnsi="宋体" w:eastAsia="仿宋_GB2312"/>
                <w:kern w:val="0"/>
                <w:sz w:val="24"/>
              </w:rPr>
              <w:t>副本为正本的复印件。副本内容和正本不一致，</w:t>
            </w:r>
            <w:r>
              <w:rPr>
                <w:rFonts w:hint="eastAsia" w:ascii="仿宋_GB2312" w:hAnsi="宋体" w:eastAsia="仿宋_GB2312"/>
                <w:kern w:val="0"/>
                <w:sz w:val="24"/>
              </w:rPr>
              <w:t>以正本为准</w:t>
            </w:r>
            <w:r>
              <w:rPr>
                <w:rFonts w:ascii="仿宋_GB2312" w:hAnsi="宋体" w:eastAsia="仿宋_GB2312"/>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19</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宋体" w:eastAsia="仿宋_GB2312"/>
                <w:kern w:val="0"/>
                <w:sz w:val="24"/>
              </w:rPr>
            </w:pPr>
            <w:r>
              <w:rPr>
                <w:rFonts w:ascii="仿宋_GB2312" w:hAnsi="宋体" w:eastAsia="仿宋_GB2312"/>
                <w:kern w:val="0"/>
                <w:sz w:val="24"/>
              </w:rPr>
              <w:t>其他</w:t>
            </w:r>
          </w:p>
        </w:tc>
        <w:tc>
          <w:tcPr>
            <w:tcW w:w="646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ascii="仿宋_GB2312" w:hAnsi="宋体" w:eastAsia="仿宋_GB2312"/>
                <w:kern w:val="0"/>
                <w:sz w:val="24"/>
              </w:rPr>
            </w:pPr>
          </w:p>
        </w:tc>
      </w:tr>
    </w:tbl>
    <w:p>
      <w:pPr>
        <w:pStyle w:val="19"/>
        <w:rPr>
          <w:rFonts w:ascii="仿宋_GB2312" w:hAnsi="宋体" w:eastAsia="仿宋_GB2312"/>
          <w:b w:val="0"/>
          <w:bCs w:val="0"/>
          <w:kern w:val="0"/>
          <w:sz w:val="24"/>
          <w:szCs w:val="24"/>
        </w:rPr>
      </w:pPr>
      <w:r>
        <w:rPr>
          <w:rFonts w:hint="eastAsia" w:ascii="仿宋_GB2312" w:hAnsi="宋体" w:eastAsia="仿宋_GB2312"/>
          <w:b w:val="0"/>
          <w:bCs w:val="0"/>
          <w:kern w:val="0"/>
          <w:sz w:val="24"/>
          <w:szCs w:val="24"/>
        </w:rPr>
        <w:t>一、总  则</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（一）适用范围</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本招标文件适用于本次采购项目的招标、投标、评标、定标、验收、合同履约、付款等行为（法律、法规另有规定的，从其规定）。</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（二）定义</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1、“招标人”系指平阳县人民医院。</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2、“代理机构”系指浙江社发项目管理有限公司。</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3、“投标人”系指向招标方提交投标文件的单位或个人。</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4、 “服务”系指招标文件规定投标人须承担的运费、检测费、技术指导以及其他类似的义务。</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5、“项目”系指投标人按招标文件规定向采购人提供的服务。</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6、“书面形式”包括信函、传真、电报等。</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7、“▲”或者系指实质性要求条款，对其任何偏离将导致废标。</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8、“中药配方颗粒备案号”系指浙江省本省中药配方颗粒生产企业取得的各品种上市备案号，以及外省中药配方颗粒生产企业取得的各品种跨省销售备案号，其备案程序应符合《浙江省中药配方颗粒管理细则》要求。上述备案号应在国家药品监督管理局“中药配方颗粒备案信息公示”系统内可查。</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9、“最高零售价”系指参照绍兴市医药行业协会发布的中药配方颗粒价格信息单涉及的建议最高零售价，指导价区分国标配方颗粒以及省标配方颗粒。</w:t>
      </w:r>
    </w:p>
    <w:p>
      <w:pPr>
        <w:spacing w:line="360" w:lineRule="auto"/>
        <w:ind w:firstLine="510"/>
        <w:rPr>
          <w:rFonts w:ascii="仿宋_GB2312" w:hAnsi="宋体" w:eastAsia="仿宋_GB2312"/>
          <w:kern w:val="0"/>
          <w:sz w:val="24"/>
        </w:rPr>
      </w:pP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（三）招标方式</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本次招标采用公开招标方式进行。</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（四）投标委托</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投标人代表参加开标活动时应当携带有效身份证件。如投标人代表不是法定代表人，投标文件应当提供法定代表人出具的授权委托书（正本用原件，副本用复印件，格式见第六章）。</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（五）投标费用</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不论投标结果如何，投标人均应自行承担所有与投标有关的全部费用。</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（六）联合体投标</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本项目不接受联合体投标</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（七）转包与分包</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1.本项目不允许转包。</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2.本项目不允许分包。</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（八）特别说明：</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投标人应仔细阅读招标文件的所有内容，按照招标文件的要求提交投标文件，并对所提供的全部资料的真实性承担法律责任。</w:t>
      </w:r>
    </w:p>
    <w:p>
      <w:pPr>
        <w:snapToGrid w:val="0"/>
        <w:spacing w:line="360" w:lineRule="auto"/>
        <w:ind w:firstLine="504" w:firstLineChars="210"/>
        <w:jc w:val="left"/>
        <w:outlineLvl w:val="2"/>
        <w:rPr>
          <w:rFonts w:ascii="仿宋_GB2312" w:hAnsi="宋体" w:eastAsia="仿宋_GB2312"/>
          <w:kern w:val="0"/>
          <w:sz w:val="24"/>
        </w:rPr>
      </w:pPr>
      <w:r>
        <w:rPr>
          <w:rFonts w:hint="eastAsia" w:ascii="仿宋_GB2312" w:hAnsi="宋体" w:eastAsia="仿宋_GB2312"/>
          <w:kern w:val="0"/>
          <w:sz w:val="24"/>
        </w:rPr>
        <w:t>（九）质疑和投诉</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1.投标人认为招标文件、招标过程或中标结果使自己的合法权益受到损害的，应当在知道或者应知其权益受到损害之日起七个工作日内，针对同一采购程序环节一次性以书面形式向招标人、招标代理机构提出质疑。投标人对招标采购单位的质疑答复不满意或者招标采购单位未在规定时间内作出答复的，可以在答复期满后十五个工作日内向同级采购监管部门投诉。</w:t>
      </w:r>
    </w:p>
    <w:p>
      <w:pPr>
        <w:spacing w:line="360" w:lineRule="auto"/>
        <w:ind w:firstLine="510"/>
        <w:rPr>
          <w:rFonts w:ascii="仿宋_GB2312" w:hAnsi="宋体" w:eastAsia="仿宋_GB2312"/>
          <w:kern w:val="0"/>
          <w:sz w:val="24"/>
        </w:rPr>
      </w:pPr>
      <w:r>
        <w:rPr>
          <w:rFonts w:hint="eastAsia" w:ascii="仿宋_GB2312" w:hAnsi="宋体" w:eastAsia="仿宋_GB2312"/>
          <w:kern w:val="0"/>
          <w:sz w:val="24"/>
        </w:rPr>
        <w:t>供应商应知其权益受到损害之日，是指：</w:t>
      </w:r>
    </w:p>
    <w:p>
      <w:pPr>
        <w:spacing w:line="360" w:lineRule="auto"/>
        <w:ind w:firstLine="364"/>
        <w:rPr>
          <w:rFonts w:ascii="仿宋_GB2312" w:hAnsi="宋体" w:eastAsia="仿宋_GB2312"/>
          <w:kern w:val="0"/>
          <w:sz w:val="24"/>
        </w:rPr>
      </w:pPr>
      <w:r>
        <w:rPr>
          <w:rFonts w:hint="eastAsia" w:ascii="仿宋_GB2312" w:hAnsi="宋体" w:eastAsia="仿宋_GB2312"/>
          <w:kern w:val="0"/>
          <w:sz w:val="24"/>
        </w:rPr>
        <w:t xml:space="preserve">（1）对可以质疑的招标文件提出质疑的，为收到招标文件之日。收到招标文件之日起至投标截止时间止不足七个工作日的，应当在投标截止时间前提出。  </w:t>
      </w:r>
    </w:p>
    <w:p>
      <w:pPr>
        <w:spacing w:line="360" w:lineRule="auto"/>
        <w:ind w:firstLine="364"/>
        <w:rPr>
          <w:rFonts w:ascii="仿宋_GB2312" w:hAnsi="宋体" w:eastAsia="仿宋_GB2312"/>
          <w:kern w:val="0"/>
          <w:sz w:val="24"/>
        </w:rPr>
      </w:pPr>
      <w:r>
        <w:rPr>
          <w:rFonts w:hint="eastAsia" w:ascii="仿宋_GB2312" w:hAnsi="宋体" w:eastAsia="仿宋_GB2312"/>
          <w:kern w:val="0"/>
          <w:sz w:val="24"/>
        </w:rPr>
        <w:t>（2）对招标过程提出质疑的，为各招标程序环节结束之日。</w:t>
      </w:r>
    </w:p>
    <w:p>
      <w:pPr>
        <w:spacing w:line="360" w:lineRule="auto"/>
        <w:ind w:firstLine="336"/>
        <w:rPr>
          <w:rFonts w:ascii="仿宋_GB2312" w:hAnsi="宋体" w:eastAsia="仿宋_GB2312"/>
          <w:kern w:val="0"/>
          <w:sz w:val="24"/>
        </w:rPr>
      </w:pPr>
      <w:r>
        <w:rPr>
          <w:rFonts w:hint="eastAsia" w:ascii="仿宋_GB2312" w:hAnsi="宋体" w:eastAsia="仿宋_GB2312"/>
          <w:kern w:val="0"/>
          <w:sz w:val="24"/>
        </w:rPr>
        <w:t>（3）对中标结果提出质疑的，为成交结果公告期限届满之日。</w:t>
      </w:r>
    </w:p>
    <w:p>
      <w:pPr>
        <w:spacing w:line="360" w:lineRule="auto"/>
        <w:ind w:firstLine="462"/>
        <w:rPr>
          <w:rFonts w:ascii="仿宋_GB2312" w:hAnsi="宋体" w:eastAsia="仿宋_GB2312"/>
          <w:kern w:val="0"/>
          <w:sz w:val="24"/>
        </w:rPr>
      </w:pPr>
      <w:r>
        <w:rPr>
          <w:rFonts w:hint="eastAsia" w:ascii="仿宋_GB2312" w:hAnsi="宋体" w:eastAsia="仿宋_GB2312"/>
          <w:kern w:val="0"/>
          <w:sz w:val="24"/>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19"/>
        <w:rPr>
          <w:rFonts w:ascii="仿宋_GB2312" w:hAnsi="宋体" w:eastAsia="仿宋_GB2312"/>
          <w:b w:val="0"/>
          <w:bCs w:val="0"/>
          <w:kern w:val="0"/>
          <w:sz w:val="24"/>
          <w:szCs w:val="24"/>
        </w:rPr>
      </w:pPr>
      <w:r>
        <w:rPr>
          <w:rFonts w:hint="eastAsia" w:ascii="仿宋_GB2312" w:hAnsi="宋体" w:eastAsia="仿宋_GB2312"/>
          <w:b w:val="0"/>
          <w:bCs w:val="0"/>
          <w:kern w:val="0"/>
          <w:sz w:val="24"/>
          <w:szCs w:val="24"/>
        </w:rPr>
        <w:t>二、招标文件</w:t>
      </w:r>
    </w:p>
    <w:p>
      <w:pPr>
        <w:snapToGrid w:val="0"/>
        <w:spacing w:line="360" w:lineRule="auto"/>
        <w:ind w:firstLine="352" w:firstLineChars="147"/>
        <w:jc w:val="left"/>
        <w:outlineLvl w:val="2"/>
        <w:rPr>
          <w:rFonts w:ascii="仿宋_GB2312" w:hAnsi="宋体" w:eastAsia="仿宋_GB2312"/>
          <w:kern w:val="0"/>
          <w:sz w:val="24"/>
        </w:rPr>
      </w:pPr>
      <w:r>
        <w:rPr>
          <w:rFonts w:hint="eastAsia" w:ascii="仿宋_GB2312" w:hAnsi="宋体" w:eastAsia="仿宋_GB2312"/>
          <w:kern w:val="0"/>
          <w:sz w:val="24"/>
        </w:rPr>
        <w:t>（一）招标文件的组成</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1．本招标文件由招标公告、投标须知（前附表）、主要合同协议条款、评标方法及评分标准等组成。</w:t>
      </w:r>
    </w:p>
    <w:p>
      <w:pPr>
        <w:adjustRightInd w:val="0"/>
        <w:snapToGrid w:val="0"/>
        <w:spacing w:line="420" w:lineRule="exact"/>
        <w:ind w:firstLine="480" w:firstLineChars="200"/>
        <w:rPr>
          <w:rFonts w:ascii="仿宋_GB2312" w:hAnsi="宋体" w:eastAsia="仿宋_GB2312"/>
          <w:kern w:val="0"/>
          <w:sz w:val="24"/>
        </w:rPr>
      </w:pPr>
      <w:r>
        <w:rPr>
          <w:rFonts w:hint="eastAsia" w:ascii="仿宋_GB2312" w:hAnsi="宋体" w:eastAsia="仿宋_GB2312"/>
          <w:kern w:val="0"/>
          <w:sz w:val="24"/>
        </w:rPr>
        <w:t>2．本标文作为投标文件制作、评标、合同及履行的依据。</w:t>
      </w:r>
    </w:p>
    <w:p>
      <w:pPr>
        <w:snapToGrid w:val="0"/>
        <w:spacing w:line="360" w:lineRule="auto"/>
        <w:ind w:firstLine="352" w:firstLineChars="147"/>
        <w:jc w:val="left"/>
        <w:outlineLvl w:val="2"/>
        <w:rPr>
          <w:rFonts w:ascii="仿宋_GB2312" w:hAnsi="宋体" w:eastAsia="仿宋_GB2312"/>
          <w:kern w:val="0"/>
          <w:sz w:val="24"/>
        </w:rPr>
      </w:pPr>
      <w:r>
        <w:rPr>
          <w:rFonts w:hint="eastAsia" w:ascii="仿宋_GB2312" w:hAnsi="宋体" w:eastAsia="仿宋_GB2312"/>
          <w:kern w:val="0"/>
          <w:sz w:val="24"/>
        </w:rPr>
        <w:t>（二）投标人的风险</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投标人没有按照招标文件要求提供全部资料，或者投标人没有对招标文件在各方面作出实质性响应是投标人的风险，并可能导致其投标无效。</w:t>
      </w:r>
    </w:p>
    <w:p>
      <w:pPr>
        <w:snapToGrid w:val="0"/>
        <w:spacing w:line="360" w:lineRule="auto"/>
        <w:ind w:firstLine="352" w:firstLineChars="147"/>
        <w:jc w:val="left"/>
        <w:outlineLvl w:val="2"/>
        <w:rPr>
          <w:rFonts w:ascii="仿宋_GB2312" w:hAnsi="宋体" w:eastAsia="仿宋_GB2312"/>
          <w:kern w:val="0"/>
          <w:sz w:val="24"/>
        </w:rPr>
      </w:pPr>
      <w:r>
        <w:rPr>
          <w:rFonts w:hint="eastAsia" w:ascii="仿宋_GB2312" w:hAnsi="宋体" w:eastAsia="仿宋_GB2312"/>
          <w:kern w:val="0"/>
          <w:sz w:val="24"/>
        </w:rPr>
        <w:t xml:space="preserve">（三）招标文件的澄清与修改 </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投标人应认真阅读本招标文件，发现其中有表述不清晰、前后矛盾等内容的，投标人可以在投标截止日15天前以书面形式要求招标采购单位澄清。招标采购单位对已发出的招标文件进行必要澄清、修改的内容可能影响投标文件编制的，应当在招标文件要求提交投标文件截止时间十五日前，在财政部门指定的政府采购信息发布媒体上发布更正公告，并以书面形式通知所有招标文件收受人。</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2.招标采购单位必须以书面形式答复投标人要求澄清的问题，并将不包含问题来源的答复书面通知所有购买招标文件的投标人；除书面答复以外的其他澄清方式及澄清内容均无效。</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3.招标文件澄清、修改的内容为招标文件的组成部分。当招标文件与招标文件的澄清、修改通知就同一内容的表述不一致时，以最后发出的书面文件为准。</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4.招标文件的澄清、修改都应该通过本代理机构发布。</w:t>
      </w:r>
    </w:p>
    <w:p>
      <w:pPr>
        <w:pStyle w:val="19"/>
        <w:rPr>
          <w:rFonts w:ascii="仿宋_GB2312" w:hAnsi="宋体" w:eastAsia="仿宋_GB2312"/>
          <w:b w:val="0"/>
          <w:bCs w:val="0"/>
          <w:kern w:val="0"/>
          <w:sz w:val="24"/>
          <w:szCs w:val="24"/>
        </w:rPr>
      </w:pPr>
      <w:r>
        <w:rPr>
          <w:rFonts w:hint="eastAsia" w:ascii="仿宋_GB2312" w:hAnsi="宋体" w:eastAsia="仿宋_GB2312"/>
          <w:b w:val="0"/>
          <w:bCs w:val="0"/>
          <w:kern w:val="0"/>
          <w:sz w:val="24"/>
          <w:szCs w:val="24"/>
        </w:rPr>
        <w:t>三、投标文件</w:t>
      </w:r>
    </w:p>
    <w:p>
      <w:pPr>
        <w:snapToGrid w:val="0"/>
        <w:spacing w:line="360" w:lineRule="auto"/>
        <w:ind w:firstLine="352" w:firstLineChars="147"/>
        <w:jc w:val="left"/>
        <w:outlineLvl w:val="2"/>
        <w:rPr>
          <w:rFonts w:ascii="仿宋_GB2312" w:hAnsi="宋体" w:eastAsia="仿宋_GB2312"/>
          <w:kern w:val="0"/>
          <w:sz w:val="24"/>
        </w:rPr>
      </w:pPr>
      <w:r>
        <w:rPr>
          <w:rFonts w:hint="eastAsia" w:ascii="仿宋_GB2312" w:hAnsi="宋体" w:eastAsia="仿宋_GB2312"/>
          <w:kern w:val="0"/>
          <w:sz w:val="24"/>
        </w:rPr>
        <w:t>（一）投标文件的组成</w:t>
      </w:r>
    </w:p>
    <w:p>
      <w:pPr>
        <w:pStyle w:val="20"/>
        <w:spacing w:after="156" w:line="360" w:lineRule="auto"/>
        <w:ind w:left="0" w:leftChars="0" w:firstLine="480" w:firstLineChars="200"/>
        <w:contextualSpacing/>
        <w:rPr>
          <w:rFonts w:ascii="仿宋_GB2312" w:hAnsi="宋体" w:eastAsia="仿宋_GB2312"/>
          <w:kern w:val="0"/>
          <w:sz w:val="24"/>
          <w:szCs w:val="24"/>
        </w:rPr>
      </w:pPr>
      <w:r>
        <w:rPr>
          <w:rFonts w:hint="eastAsia" w:ascii="仿宋_GB2312" w:hAnsi="宋体" w:eastAsia="仿宋_GB2312"/>
          <w:kern w:val="0"/>
          <w:sz w:val="24"/>
          <w:szCs w:val="24"/>
        </w:rPr>
        <w:t>投标文件由三部分构成：投标人资格证明文件、投标人技术标文件、投标人报价文件分别独立封装递交。投标文件内提供的证明文件必须清晰可见，因文件制作不规范或不清晰给投标人带来的不利影响，风险由投标人自行承担。</w:t>
      </w:r>
    </w:p>
    <w:p>
      <w:pPr>
        <w:pStyle w:val="4"/>
        <w:rPr>
          <w:rFonts w:ascii="仿宋_GB2312" w:hAnsi="宋体" w:eastAsia="仿宋_GB2312"/>
          <w:b w:val="0"/>
          <w:bCs w:val="0"/>
          <w:kern w:val="0"/>
          <w:sz w:val="24"/>
          <w:szCs w:val="24"/>
        </w:rPr>
      </w:pPr>
      <w:r>
        <w:rPr>
          <w:rFonts w:ascii="仿宋_GB2312" w:hAnsi="宋体" w:eastAsia="仿宋_GB2312"/>
          <w:b w:val="0"/>
          <w:bCs w:val="0"/>
          <w:kern w:val="0"/>
          <w:sz w:val="24"/>
          <w:szCs w:val="24"/>
        </w:rPr>
        <w:t xml:space="preserve">1. </w:t>
      </w:r>
      <w:r>
        <w:rPr>
          <w:rFonts w:hint="eastAsia" w:ascii="仿宋_GB2312" w:hAnsi="宋体" w:eastAsia="仿宋_GB2312"/>
          <w:b w:val="0"/>
          <w:bCs w:val="0"/>
          <w:kern w:val="0"/>
          <w:sz w:val="24"/>
          <w:szCs w:val="24"/>
        </w:rPr>
        <w:t>投标人资格证明文件（装订成册）</w:t>
      </w:r>
    </w:p>
    <w:p>
      <w:pPr>
        <w:adjustRightInd w:val="0"/>
        <w:snapToGrid w:val="0"/>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包括投标函、法定代表人授权书、营业执照副本复印件、生产许可证复印件等，具体如下：</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127"/>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640"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序号</w:t>
            </w:r>
          </w:p>
        </w:tc>
        <w:tc>
          <w:tcPr>
            <w:tcW w:w="2127"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材料名称</w:t>
            </w:r>
          </w:p>
        </w:tc>
        <w:tc>
          <w:tcPr>
            <w:tcW w:w="6237"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40" w:type="dxa"/>
            <w:vAlign w:val="center"/>
          </w:tcPr>
          <w:p>
            <w:pPr>
              <w:jc w:val="center"/>
              <w:rPr>
                <w:rFonts w:ascii="仿宋_GB2312" w:hAnsi="宋体" w:eastAsia="仿宋_GB2312"/>
                <w:kern w:val="0"/>
                <w:sz w:val="24"/>
              </w:rPr>
            </w:pPr>
            <w:r>
              <w:rPr>
                <w:rFonts w:hint="eastAsia" w:ascii="仿宋_GB2312" w:hAnsi="宋体" w:eastAsia="仿宋_GB2312"/>
                <w:kern w:val="0"/>
                <w:sz w:val="24"/>
              </w:rPr>
              <w:t>1</w:t>
            </w:r>
          </w:p>
        </w:tc>
        <w:tc>
          <w:tcPr>
            <w:tcW w:w="2127" w:type="dxa"/>
            <w:vAlign w:val="center"/>
          </w:tcPr>
          <w:p>
            <w:pPr>
              <w:jc w:val="center"/>
              <w:rPr>
                <w:rFonts w:ascii="仿宋_GB2312" w:hAnsi="宋体" w:eastAsia="仿宋_GB2312"/>
                <w:kern w:val="0"/>
                <w:sz w:val="24"/>
              </w:rPr>
            </w:pPr>
            <w:r>
              <w:rPr>
                <w:rFonts w:hint="eastAsia" w:ascii="仿宋_GB2312" w:hAnsi="宋体" w:eastAsia="仿宋_GB2312"/>
                <w:kern w:val="0"/>
                <w:sz w:val="24"/>
              </w:rPr>
              <w:t>封面</w:t>
            </w:r>
          </w:p>
        </w:tc>
        <w:tc>
          <w:tcPr>
            <w:tcW w:w="6237" w:type="dxa"/>
            <w:vAlign w:val="center"/>
          </w:tcPr>
          <w:p>
            <w:pPr>
              <w:spacing w:line="440" w:lineRule="atLeast"/>
              <w:rPr>
                <w:rFonts w:ascii="仿宋_GB2312" w:hAnsi="宋体" w:eastAsia="仿宋_GB2312"/>
                <w:kern w:val="0"/>
                <w:sz w:val="24"/>
              </w:rPr>
            </w:pPr>
            <w:r>
              <w:rPr>
                <w:rFonts w:hint="eastAsia" w:ascii="仿宋_GB2312" w:hAnsi="宋体" w:eastAsia="仿宋_GB2312"/>
                <w:kern w:val="0"/>
                <w:sz w:val="24"/>
              </w:rPr>
              <w:t>格式详见附表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0" w:type="dxa"/>
            <w:vAlign w:val="center"/>
          </w:tcPr>
          <w:p>
            <w:pPr>
              <w:jc w:val="center"/>
              <w:rPr>
                <w:rFonts w:ascii="仿宋_GB2312" w:hAnsi="宋体" w:eastAsia="仿宋_GB2312"/>
                <w:kern w:val="0"/>
                <w:sz w:val="24"/>
              </w:rPr>
            </w:pPr>
            <w:r>
              <w:rPr>
                <w:rFonts w:hint="eastAsia" w:ascii="仿宋_GB2312" w:hAnsi="宋体" w:eastAsia="仿宋_GB2312"/>
                <w:kern w:val="0"/>
                <w:sz w:val="24"/>
              </w:rPr>
              <w:t>▲2</w:t>
            </w:r>
          </w:p>
        </w:tc>
        <w:tc>
          <w:tcPr>
            <w:tcW w:w="2127" w:type="dxa"/>
            <w:vAlign w:val="center"/>
          </w:tcPr>
          <w:p>
            <w:pPr>
              <w:jc w:val="center"/>
              <w:rPr>
                <w:rFonts w:ascii="仿宋_GB2312" w:hAnsi="宋体" w:eastAsia="仿宋_GB2312"/>
                <w:kern w:val="0"/>
                <w:sz w:val="24"/>
              </w:rPr>
            </w:pPr>
            <w:r>
              <w:rPr>
                <w:rFonts w:hint="eastAsia" w:ascii="仿宋_GB2312" w:hAnsi="宋体" w:eastAsia="仿宋_GB2312"/>
                <w:kern w:val="0"/>
                <w:sz w:val="24"/>
              </w:rPr>
              <w:t>符合参与采购活动资格条件的承诺函</w:t>
            </w:r>
          </w:p>
        </w:tc>
        <w:tc>
          <w:tcPr>
            <w:tcW w:w="6237" w:type="dxa"/>
            <w:vAlign w:val="center"/>
          </w:tcPr>
          <w:p>
            <w:pPr>
              <w:rPr>
                <w:rFonts w:ascii="仿宋_GB2312" w:hAnsi="宋体" w:eastAsia="仿宋_GB2312"/>
                <w:kern w:val="0"/>
                <w:sz w:val="24"/>
              </w:rPr>
            </w:pPr>
            <w:r>
              <w:rPr>
                <w:rFonts w:hint="eastAsia" w:ascii="仿宋_GB2312" w:hAnsi="宋体" w:eastAsia="仿宋_GB2312"/>
                <w:kern w:val="0"/>
                <w:sz w:val="24"/>
              </w:rPr>
              <w:t>格式详见附表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0" w:type="dxa"/>
            <w:vAlign w:val="center"/>
          </w:tcPr>
          <w:p>
            <w:pPr>
              <w:jc w:val="center"/>
              <w:rPr>
                <w:rFonts w:ascii="仿宋_GB2312" w:hAnsi="宋体" w:eastAsia="仿宋_GB2312"/>
                <w:kern w:val="0"/>
                <w:sz w:val="24"/>
              </w:rPr>
            </w:pPr>
            <w:r>
              <w:rPr>
                <w:rFonts w:hint="eastAsia" w:ascii="仿宋_GB2312" w:hAnsi="宋体" w:eastAsia="仿宋_GB2312"/>
                <w:kern w:val="0"/>
                <w:sz w:val="24"/>
              </w:rPr>
              <w:t>▲3</w:t>
            </w:r>
          </w:p>
        </w:tc>
        <w:tc>
          <w:tcPr>
            <w:tcW w:w="2127" w:type="dxa"/>
            <w:vAlign w:val="center"/>
          </w:tcPr>
          <w:p>
            <w:pPr>
              <w:jc w:val="center"/>
              <w:rPr>
                <w:rFonts w:ascii="仿宋_GB2312" w:hAnsi="宋体" w:eastAsia="仿宋_GB2312"/>
                <w:kern w:val="0"/>
                <w:sz w:val="24"/>
              </w:rPr>
            </w:pPr>
            <w:r>
              <w:rPr>
                <w:rFonts w:hint="eastAsia" w:ascii="仿宋_GB2312" w:hAnsi="宋体" w:eastAsia="仿宋_GB2312"/>
                <w:kern w:val="0"/>
                <w:sz w:val="24"/>
              </w:rPr>
              <w:t>投标函</w:t>
            </w:r>
          </w:p>
        </w:tc>
        <w:tc>
          <w:tcPr>
            <w:tcW w:w="6237" w:type="dxa"/>
            <w:vAlign w:val="center"/>
          </w:tcPr>
          <w:p>
            <w:pPr>
              <w:rPr>
                <w:rFonts w:ascii="仿宋_GB2312" w:hAnsi="宋体" w:eastAsia="仿宋_GB2312"/>
                <w:kern w:val="0"/>
                <w:sz w:val="24"/>
              </w:rPr>
            </w:pPr>
            <w:r>
              <w:rPr>
                <w:rFonts w:hint="eastAsia" w:ascii="仿宋_GB2312" w:hAnsi="宋体" w:eastAsia="仿宋_GB2312"/>
                <w:kern w:val="0"/>
                <w:sz w:val="24"/>
              </w:rPr>
              <w:t>格式详见附表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640" w:type="dxa"/>
            <w:vAlign w:val="center"/>
          </w:tcPr>
          <w:p>
            <w:pPr>
              <w:jc w:val="center"/>
              <w:rPr>
                <w:rFonts w:ascii="仿宋_GB2312" w:hAnsi="宋体" w:eastAsia="仿宋_GB2312"/>
                <w:kern w:val="0"/>
                <w:sz w:val="24"/>
              </w:rPr>
            </w:pPr>
            <w:r>
              <w:rPr>
                <w:rFonts w:hint="eastAsia" w:ascii="仿宋_GB2312" w:hAnsi="宋体" w:eastAsia="仿宋_GB2312"/>
                <w:kern w:val="0"/>
                <w:sz w:val="24"/>
              </w:rPr>
              <w:t>▲4</w:t>
            </w:r>
          </w:p>
        </w:tc>
        <w:tc>
          <w:tcPr>
            <w:tcW w:w="2127" w:type="dxa"/>
            <w:vAlign w:val="center"/>
          </w:tcPr>
          <w:p>
            <w:pPr>
              <w:jc w:val="center"/>
              <w:rPr>
                <w:rFonts w:ascii="仿宋_GB2312" w:hAnsi="宋体" w:eastAsia="仿宋_GB2312"/>
                <w:kern w:val="0"/>
                <w:sz w:val="24"/>
              </w:rPr>
            </w:pPr>
            <w:r>
              <w:rPr>
                <w:rFonts w:hint="eastAsia" w:ascii="仿宋_GB2312" w:hAnsi="宋体" w:eastAsia="仿宋_GB2312"/>
                <w:kern w:val="0"/>
                <w:sz w:val="24"/>
              </w:rPr>
              <w:t>法定代表人授权书</w:t>
            </w:r>
          </w:p>
        </w:tc>
        <w:tc>
          <w:tcPr>
            <w:tcW w:w="6237" w:type="dxa"/>
            <w:vAlign w:val="center"/>
          </w:tcPr>
          <w:p>
            <w:pPr>
              <w:rPr>
                <w:rFonts w:ascii="仿宋_GB2312" w:hAnsi="宋体" w:eastAsia="仿宋_GB2312"/>
                <w:kern w:val="0"/>
                <w:sz w:val="24"/>
              </w:rPr>
            </w:pPr>
            <w:r>
              <w:rPr>
                <w:rFonts w:hint="eastAsia" w:ascii="仿宋_GB2312" w:hAnsi="宋体" w:eastAsia="仿宋_GB2312"/>
                <w:kern w:val="0"/>
                <w:sz w:val="24"/>
              </w:rPr>
              <w:t>格式详见附表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640" w:type="dxa"/>
            <w:vAlign w:val="center"/>
          </w:tcPr>
          <w:p>
            <w:pPr>
              <w:jc w:val="center"/>
              <w:rPr>
                <w:rFonts w:ascii="仿宋_GB2312" w:hAnsi="宋体" w:eastAsia="仿宋_GB2312"/>
                <w:kern w:val="0"/>
                <w:sz w:val="24"/>
              </w:rPr>
            </w:pPr>
            <w:r>
              <w:rPr>
                <w:rFonts w:hint="eastAsia" w:ascii="仿宋_GB2312" w:hAnsi="宋体" w:eastAsia="仿宋_GB2312"/>
                <w:kern w:val="0"/>
                <w:sz w:val="24"/>
              </w:rPr>
              <w:t>▲5</w:t>
            </w:r>
          </w:p>
        </w:tc>
        <w:tc>
          <w:tcPr>
            <w:tcW w:w="2127" w:type="dxa"/>
            <w:vAlign w:val="center"/>
          </w:tcPr>
          <w:p>
            <w:pPr>
              <w:jc w:val="center"/>
              <w:rPr>
                <w:rFonts w:ascii="仿宋_GB2312" w:hAnsi="宋体" w:eastAsia="仿宋_GB2312"/>
                <w:kern w:val="0"/>
                <w:sz w:val="24"/>
              </w:rPr>
            </w:pPr>
            <w:r>
              <w:rPr>
                <w:rFonts w:hint="eastAsia" w:ascii="仿宋_GB2312" w:hAnsi="宋体" w:eastAsia="仿宋_GB2312"/>
                <w:kern w:val="0"/>
                <w:sz w:val="24"/>
              </w:rPr>
              <w:t>投标人营业执照副本复印件</w:t>
            </w:r>
          </w:p>
        </w:tc>
        <w:tc>
          <w:tcPr>
            <w:tcW w:w="6237" w:type="dxa"/>
            <w:vAlign w:val="center"/>
          </w:tcPr>
          <w:p>
            <w:pPr>
              <w:rPr>
                <w:rFonts w:ascii="仿宋_GB2312" w:hAnsi="宋体" w:eastAsia="仿宋_GB2312"/>
                <w:kern w:val="0"/>
                <w:sz w:val="24"/>
              </w:rPr>
            </w:pPr>
            <w:r>
              <w:rPr>
                <w:rFonts w:hint="eastAsia" w:ascii="仿宋_GB2312" w:hAnsi="宋体" w:eastAsia="仿宋_GB2312"/>
                <w:kern w:val="0"/>
                <w:sz w:val="24"/>
              </w:rPr>
              <w:t>（1）有效期内；</w:t>
            </w:r>
          </w:p>
          <w:p>
            <w:pPr>
              <w:rPr>
                <w:rFonts w:ascii="仿宋_GB2312" w:hAnsi="宋体" w:eastAsia="仿宋_GB2312"/>
                <w:kern w:val="0"/>
                <w:sz w:val="24"/>
              </w:rPr>
            </w:pPr>
            <w:r>
              <w:rPr>
                <w:rFonts w:hint="eastAsia" w:ascii="仿宋_GB2312" w:hAnsi="宋体" w:eastAsia="仿宋_GB2312"/>
                <w:kern w:val="0"/>
                <w:sz w:val="24"/>
              </w:rPr>
              <w:t>（2）若有更名，务必提供相关证明材料。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640" w:type="dxa"/>
            <w:vAlign w:val="center"/>
          </w:tcPr>
          <w:p>
            <w:pPr>
              <w:jc w:val="center"/>
              <w:rPr>
                <w:rFonts w:ascii="仿宋_GB2312" w:hAnsi="宋体" w:eastAsia="仿宋_GB2312"/>
                <w:kern w:val="0"/>
                <w:sz w:val="24"/>
              </w:rPr>
            </w:pPr>
            <w:r>
              <w:rPr>
                <w:rFonts w:hint="eastAsia" w:ascii="仿宋_GB2312" w:hAnsi="宋体" w:eastAsia="仿宋_GB2312"/>
                <w:kern w:val="0"/>
                <w:sz w:val="24"/>
              </w:rPr>
              <w:t>▲6</w:t>
            </w:r>
          </w:p>
        </w:tc>
        <w:tc>
          <w:tcPr>
            <w:tcW w:w="2127" w:type="dxa"/>
            <w:vAlign w:val="center"/>
          </w:tcPr>
          <w:p>
            <w:pPr>
              <w:jc w:val="center"/>
              <w:rPr>
                <w:rFonts w:ascii="仿宋_GB2312" w:hAnsi="宋体" w:eastAsia="仿宋_GB2312"/>
                <w:kern w:val="0"/>
                <w:sz w:val="24"/>
              </w:rPr>
            </w:pPr>
            <w:r>
              <w:rPr>
                <w:rFonts w:hint="eastAsia" w:ascii="仿宋_GB2312" w:hAnsi="宋体" w:eastAsia="仿宋_GB2312"/>
                <w:kern w:val="0"/>
                <w:sz w:val="24"/>
              </w:rPr>
              <w:t>投标人药品生产许可证</w:t>
            </w:r>
          </w:p>
        </w:tc>
        <w:tc>
          <w:tcPr>
            <w:tcW w:w="6237" w:type="dxa"/>
            <w:vAlign w:val="center"/>
          </w:tcPr>
          <w:p>
            <w:pPr>
              <w:rPr>
                <w:rFonts w:ascii="仿宋_GB2312" w:hAnsi="宋体" w:eastAsia="仿宋_GB2312"/>
                <w:kern w:val="0"/>
                <w:sz w:val="24"/>
              </w:rPr>
            </w:pPr>
            <w:r>
              <w:rPr>
                <w:rFonts w:hint="eastAsia" w:ascii="仿宋_GB2312" w:hAnsi="宋体" w:eastAsia="仿宋_GB2312"/>
                <w:kern w:val="0"/>
                <w:sz w:val="24"/>
              </w:rPr>
              <w:t>（1）若在换证期间，需要提供旧的两证和药监部门出具的换证证明；</w:t>
            </w:r>
          </w:p>
          <w:p>
            <w:pPr>
              <w:rPr>
                <w:rFonts w:ascii="仿宋_GB2312" w:hAnsi="宋体" w:eastAsia="仿宋_GB2312"/>
                <w:kern w:val="0"/>
                <w:sz w:val="24"/>
              </w:rPr>
            </w:pPr>
            <w:r>
              <w:rPr>
                <w:rFonts w:hint="eastAsia" w:ascii="仿宋_GB2312" w:hAnsi="宋体" w:eastAsia="仿宋_GB2312"/>
                <w:kern w:val="0"/>
                <w:sz w:val="24"/>
              </w:rPr>
              <w:t>（2）许可范围与所投品种一致。</w:t>
            </w:r>
          </w:p>
        </w:tc>
      </w:tr>
    </w:tbl>
    <w:p>
      <w:pPr>
        <w:adjustRightInd w:val="0"/>
        <w:snapToGrid w:val="0"/>
        <w:spacing w:line="360" w:lineRule="auto"/>
        <w:ind w:firstLine="480" w:firstLineChars="200"/>
        <w:rPr>
          <w:rFonts w:ascii="仿宋_GB2312" w:hAnsi="宋体" w:eastAsia="仿宋_GB2312"/>
          <w:kern w:val="0"/>
          <w:sz w:val="24"/>
        </w:rPr>
      </w:pPr>
    </w:p>
    <w:p>
      <w:pPr>
        <w:pStyle w:val="4"/>
        <w:rPr>
          <w:rFonts w:ascii="仿宋_GB2312" w:hAnsi="宋体" w:eastAsia="仿宋_GB2312"/>
          <w:b w:val="0"/>
          <w:bCs w:val="0"/>
          <w:kern w:val="0"/>
          <w:sz w:val="24"/>
          <w:szCs w:val="24"/>
        </w:rPr>
      </w:pPr>
      <w:r>
        <w:rPr>
          <w:rFonts w:hint="eastAsia" w:ascii="仿宋_GB2312" w:hAnsi="宋体" w:eastAsia="仿宋_GB2312"/>
          <w:b w:val="0"/>
          <w:bCs w:val="0"/>
          <w:kern w:val="0"/>
          <w:sz w:val="24"/>
          <w:szCs w:val="24"/>
        </w:rPr>
        <w:t>2</w:t>
      </w:r>
      <w:r>
        <w:rPr>
          <w:rFonts w:ascii="仿宋_GB2312" w:hAnsi="宋体" w:eastAsia="仿宋_GB2312"/>
          <w:b w:val="0"/>
          <w:bCs w:val="0"/>
          <w:kern w:val="0"/>
          <w:sz w:val="24"/>
          <w:szCs w:val="24"/>
        </w:rPr>
        <w:t xml:space="preserve">. </w:t>
      </w:r>
      <w:r>
        <w:rPr>
          <w:rFonts w:hint="eastAsia" w:ascii="仿宋_GB2312" w:hAnsi="宋体" w:eastAsia="仿宋_GB2312"/>
          <w:b w:val="0"/>
          <w:bCs w:val="0"/>
          <w:kern w:val="0"/>
          <w:sz w:val="24"/>
          <w:szCs w:val="24"/>
        </w:rPr>
        <w:t>投标人技术标（装订成册）</w:t>
      </w:r>
    </w:p>
    <w:p>
      <w:pPr>
        <w:adjustRightInd w:val="0"/>
        <w:snapToGrid w:val="0"/>
        <w:spacing w:line="360" w:lineRule="auto"/>
        <w:rPr>
          <w:rFonts w:ascii="仿宋_GB2312" w:hAnsi="宋体" w:eastAsia="仿宋_GB2312"/>
          <w:kern w:val="0"/>
          <w:sz w:val="24"/>
        </w:rPr>
      </w:pPr>
      <w:r>
        <w:rPr>
          <w:rFonts w:ascii="仿宋_GB2312" w:hAnsi="宋体" w:eastAsia="仿宋_GB2312"/>
          <w:kern w:val="0"/>
          <w:sz w:val="24"/>
        </w:rPr>
        <w:t>技术</w:t>
      </w:r>
      <w:r>
        <w:rPr>
          <w:rFonts w:hint="eastAsia" w:ascii="仿宋_GB2312" w:hAnsi="宋体" w:eastAsia="仿宋_GB2312"/>
          <w:kern w:val="0"/>
          <w:sz w:val="24"/>
        </w:rPr>
        <w:t>标</w:t>
      </w:r>
      <w:r>
        <w:rPr>
          <w:rFonts w:ascii="仿宋_GB2312" w:hAnsi="宋体" w:eastAsia="仿宋_GB2312"/>
          <w:kern w:val="0"/>
          <w:sz w:val="24"/>
        </w:rPr>
        <w:t>证明材料要求全部加盖投标人公章</w:t>
      </w:r>
      <w:r>
        <w:rPr>
          <w:rFonts w:hint="eastAsia" w:ascii="仿宋_GB2312" w:hAnsi="宋体" w:eastAsia="仿宋_GB2312"/>
          <w:kern w:val="0"/>
          <w:sz w:val="24"/>
        </w:rPr>
        <w:t>，</w:t>
      </w:r>
      <w:r>
        <w:rPr>
          <w:rFonts w:ascii="仿宋_GB2312" w:hAnsi="宋体" w:eastAsia="仿宋_GB2312"/>
          <w:kern w:val="0"/>
          <w:sz w:val="24"/>
        </w:rPr>
        <w:t>装订成册</w:t>
      </w:r>
      <w:r>
        <w:rPr>
          <w:rFonts w:hint="eastAsia" w:ascii="仿宋_GB2312" w:hAnsi="宋体" w:eastAsia="仿宋_GB2312"/>
          <w:kern w:val="0"/>
          <w:sz w:val="24"/>
        </w:rPr>
        <w:t>，</w:t>
      </w:r>
      <w:r>
        <w:rPr>
          <w:rFonts w:ascii="仿宋_GB2312" w:hAnsi="宋体" w:eastAsia="仿宋_GB2312"/>
          <w:kern w:val="0"/>
          <w:sz w:val="24"/>
        </w:rPr>
        <w:t>于评标现场密封递交</w:t>
      </w:r>
      <w:r>
        <w:rPr>
          <w:rFonts w:hint="eastAsia" w:ascii="仿宋_GB2312" w:hAnsi="宋体" w:eastAsia="仿宋_GB2312"/>
          <w:kern w:val="0"/>
          <w:sz w:val="24"/>
        </w:rPr>
        <w:t>。</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951"/>
        <w:gridCol w:w="5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67"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序号</w:t>
            </w:r>
          </w:p>
        </w:tc>
        <w:tc>
          <w:tcPr>
            <w:tcW w:w="2951"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材料名称</w:t>
            </w:r>
          </w:p>
        </w:tc>
        <w:tc>
          <w:tcPr>
            <w:tcW w:w="5233"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67"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1</w:t>
            </w:r>
          </w:p>
        </w:tc>
        <w:tc>
          <w:tcPr>
            <w:tcW w:w="2951"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封面</w:t>
            </w:r>
          </w:p>
        </w:tc>
        <w:tc>
          <w:tcPr>
            <w:tcW w:w="5233" w:type="dxa"/>
            <w:vAlign w:val="center"/>
          </w:tcPr>
          <w:p>
            <w:pPr>
              <w:spacing w:line="440" w:lineRule="atLeast"/>
              <w:rPr>
                <w:rFonts w:ascii="仿宋_GB2312" w:hAnsi="宋体" w:eastAsia="仿宋_GB2312"/>
                <w:kern w:val="0"/>
                <w:sz w:val="24"/>
              </w:rPr>
            </w:pPr>
            <w:r>
              <w:rPr>
                <w:rFonts w:hint="eastAsia" w:ascii="仿宋_GB2312" w:hAnsi="宋体" w:eastAsia="仿宋_GB2312"/>
                <w:kern w:val="0"/>
                <w:sz w:val="24"/>
              </w:rPr>
              <w:t>格式详见附表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867"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2</w:t>
            </w:r>
          </w:p>
        </w:tc>
        <w:tc>
          <w:tcPr>
            <w:tcW w:w="2951" w:type="dxa"/>
            <w:vAlign w:val="center"/>
          </w:tcPr>
          <w:p>
            <w:pPr>
              <w:spacing w:line="440" w:lineRule="exact"/>
              <w:jc w:val="center"/>
              <w:rPr>
                <w:rFonts w:ascii="仿宋_GB2312" w:hAnsi="宋体" w:eastAsia="仿宋_GB2312"/>
                <w:kern w:val="0"/>
                <w:sz w:val="24"/>
              </w:rPr>
            </w:pPr>
            <w:r>
              <w:rPr>
                <w:rFonts w:hint="eastAsia" w:ascii="仿宋_GB2312" w:hAnsi="宋体" w:eastAsia="仿宋_GB2312"/>
                <w:kern w:val="0"/>
                <w:sz w:val="24"/>
              </w:rPr>
              <w:t>目录</w:t>
            </w:r>
          </w:p>
        </w:tc>
        <w:tc>
          <w:tcPr>
            <w:tcW w:w="5233" w:type="dxa"/>
            <w:vAlign w:val="center"/>
          </w:tcPr>
          <w:p>
            <w:pPr>
              <w:spacing w:line="440" w:lineRule="exact"/>
              <w:ind w:left="-109" w:leftChars="-52" w:firstLine="108" w:firstLineChars="45"/>
              <w:jc w:val="left"/>
              <w:rPr>
                <w:rFonts w:ascii="仿宋_GB2312" w:hAnsi="宋体" w:eastAsia="仿宋_GB2312"/>
                <w:kern w:val="0"/>
                <w:sz w:val="24"/>
              </w:rPr>
            </w:pPr>
            <w:r>
              <w:rPr>
                <w:rFonts w:hint="eastAsia" w:ascii="仿宋_GB2312" w:hAnsi="宋体" w:eastAsia="仿宋_GB2312"/>
                <w:kern w:val="0"/>
                <w:sz w:val="24"/>
              </w:rPr>
              <w:t>详细目录编码及相关内容的页面索引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67"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3</w:t>
            </w:r>
          </w:p>
        </w:tc>
        <w:tc>
          <w:tcPr>
            <w:tcW w:w="2951" w:type="dxa"/>
            <w:vAlign w:val="center"/>
          </w:tcPr>
          <w:p>
            <w:pPr>
              <w:spacing w:line="360" w:lineRule="auto"/>
              <w:jc w:val="center"/>
              <w:rPr>
                <w:rFonts w:ascii="仿宋_GB2312" w:hAnsi="宋体" w:eastAsia="仿宋_GB2312"/>
                <w:kern w:val="0"/>
                <w:sz w:val="24"/>
              </w:rPr>
            </w:pPr>
            <w:r>
              <w:rPr>
                <w:rFonts w:ascii="仿宋_GB2312" w:hAnsi="宋体" w:eastAsia="仿宋_GB2312" w:cs="仿宋_GB2312"/>
                <w:color w:val="000000"/>
                <w:kern w:val="0"/>
                <w:sz w:val="24"/>
                <w:szCs w:val="24"/>
                <w:lang w:bidi="ar"/>
              </w:rPr>
              <w:t>综合</w:t>
            </w:r>
            <w:r>
              <w:rPr>
                <w:rFonts w:hint="eastAsia" w:ascii="仿宋_GB2312" w:hAnsi="宋体" w:eastAsia="仿宋_GB2312" w:cs="仿宋_GB2312"/>
                <w:color w:val="000000"/>
                <w:kern w:val="0"/>
                <w:sz w:val="24"/>
                <w:szCs w:val="24"/>
                <w:lang w:bidi="ar"/>
              </w:rPr>
              <w:t>评价</w:t>
            </w:r>
            <w:r>
              <w:rPr>
                <w:rFonts w:ascii="仿宋_GB2312" w:hAnsi="宋体" w:eastAsia="仿宋_GB2312"/>
                <w:kern w:val="0"/>
                <w:sz w:val="24"/>
              </w:rPr>
              <w:t>证明文件</w:t>
            </w:r>
          </w:p>
        </w:tc>
        <w:tc>
          <w:tcPr>
            <w:tcW w:w="5233" w:type="dxa"/>
            <w:vAlign w:val="center"/>
          </w:tcPr>
          <w:p>
            <w:pPr>
              <w:spacing w:line="440" w:lineRule="atLeast"/>
              <w:rPr>
                <w:rFonts w:ascii="仿宋_GB2312" w:hAnsi="宋体" w:eastAsia="仿宋_GB2312"/>
                <w:kern w:val="0"/>
                <w:sz w:val="24"/>
              </w:rPr>
            </w:pPr>
            <w:r>
              <w:rPr>
                <w:rFonts w:hint="eastAsia" w:ascii="仿宋_GB2312" w:hAnsi="宋体" w:eastAsia="仿宋_GB2312"/>
                <w:kern w:val="0"/>
                <w:sz w:val="24"/>
              </w:rPr>
              <w:t>详见招标文件第四部分评标办法、评分细则。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867"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4</w:t>
            </w:r>
          </w:p>
        </w:tc>
        <w:tc>
          <w:tcPr>
            <w:tcW w:w="2951" w:type="dxa"/>
            <w:vAlign w:val="center"/>
          </w:tcPr>
          <w:p>
            <w:pPr>
              <w:spacing w:line="360" w:lineRule="auto"/>
              <w:jc w:val="center"/>
              <w:rPr>
                <w:rFonts w:ascii="仿宋_GB2312" w:hAnsi="宋体" w:eastAsia="仿宋_GB2312"/>
                <w:kern w:val="0"/>
                <w:sz w:val="24"/>
              </w:rPr>
            </w:pPr>
            <w:r>
              <w:rPr>
                <w:rFonts w:hint="eastAsia" w:ascii="仿宋_GB2312" w:hAnsi="宋体" w:eastAsia="仿宋_GB2312" w:cs="仿宋_GB2312"/>
                <w:color w:val="000000"/>
                <w:kern w:val="0"/>
                <w:sz w:val="24"/>
                <w:szCs w:val="24"/>
                <w:lang w:bidi="ar"/>
              </w:rPr>
              <w:t>产品质量</w:t>
            </w:r>
            <w:r>
              <w:rPr>
                <w:rFonts w:ascii="仿宋_GB2312" w:hAnsi="宋体" w:eastAsia="仿宋_GB2312"/>
                <w:kern w:val="0"/>
                <w:sz w:val="24"/>
              </w:rPr>
              <w:t>证明文件</w:t>
            </w:r>
          </w:p>
        </w:tc>
        <w:tc>
          <w:tcPr>
            <w:tcW w:w="5233" w:type="dxa"/>
            <w:vAlign w:val="center"/>
          </w:tcPr>
          <w:p>
            <w:pPr>
              <w:spacing w:line="440" w:lineRule="atLeast"/>
              <w:rPr>
                <w:rFonts w:ascii="仿宋_GB2312" w:hAnsi="宋体" w:eastAsia="仿宋_GB2312"/>
                <w:kern w:val="0"/>
                <w:sz w:val="24"/>
              </w:rPr>
            </w:pPr>
            <w:r>
              <w:rPr>
                <w:rFonts w:hint="eastAsia" w:ascii="仿宋_GB2312" w:hAnsi="宋体" w:eastAsia="仿宋_GB2312"/>
                <w:kern w:val="0"/>
                <w:sz w:val="24"/>
              </w:rPr>
              <w:t>详见招标文件第四部分评标办法、评分细则。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867" w:type="dxa"/>
            <w:vAlign w:val="center"/>
          </w:tcPr>
          <w:p>
            <w:pPr>
              <w:jc w:val="center"/>
              <w:rPr>
                <w:rFonts w:ascii="仿宋_GB2312" w:hAnsi="宋体" w:eastAsia="仿宋_GB2312"/>
                <w:kern w:val="0"/>
                <w:sz w:val="24"/>
              </w:rPr>
            </w:pPr>
            <w:r>
              <w:rPr>
                <w:rFonts w:hint="eastAsia" w:ascii="仿宋_GB2312" w:hAnsi="宋体" w:eastAsia="仿宋_GB2312"/>
                <w:kern w:val="0"/>
                <w:sz w:val="24"/>
              </w:rPr>
              <w:t>5</w:t>
            </w:r>
          </w:p>
        </w:tc>
        <w:tc>
          <w:tcPr>
            <w:tcW w:w="2951"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配送服务证明文件</w:t>
            </w:r>
          </w:p>
        </w:tc>
        <w:tc>
          <w:tcPr>
            <w:tcW w:w="5233" w:type="dxa"/>
            <w:vAlign w:val="center"/>
          </w:tcPr>
          <w:p>
            <w:pPr>
              <w:adjustRightInd w:val="0"/>
              <w:snapToGrid w:val="0"/>
              <w:spacing w:line="360" w:lineRule="auto"/>
              <w:rPr>
                <w:rFonts w:ascii="仿宋_GB2312" w:hAnsi="宋体" w:eastAsia="仿宋_GB2312"/>
                <w:kern w:val="0"/>
                <w:sz w:val="24"/>
              </w:rPr>
            </w:pPr>
            <w:r>
              <w:rPr>
                <w:rFonts w:hint="eastAsia" w:ascii="仿宋_GB2312" w:hAnsi="宋体" w:eastAsia="仿宋_GB2312"/>
                <w:kern w:val="0"/>
                <w:sz w:val="24"/>
              </w:rPr>
              <w:t>详见招标文件第四部分评标办法、评分细则。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867" w:type="dxa"/>
            <w:vAlign w:val="center"/>
          </w:tcPr>
          <w:p>
            <w:pPr>
              <w:jc w:val="center"/>
              <w:rPr>
                <w:rFonts w:ascii="仿宋_GB2312" w:hAnsi="宋体" w:eastAsia="仿宋_GB2312"/>
                <w:kern w:val="0"/>
                <w:sz w:val="24"/>
              </w:rPr>
            </w:pPr>
            <w:r>
              <w:rPr>
                <w:rFonts w:hint="eastAsia" w:ascii="仿宋_GB2312" w:hAnsi="宋体" w:eastAsia="仿宋_GB2312"/>
                <w:kern w:val="0"/>
                <w:sz w:val="24"/>
              </w:rPr>
              <w:t>6</w:t>
            </w:r>
          </w:p>
        </w:tc>
        <w:tc>
          <w:tcPr>
            <w:tcW w:w="2951"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投标人认为有必须提交的其他证明材料</w:t>
            </w:r>
          </w:p>
        </w:tc>
        <w:tc>
          <w:tcPr>
            <w:tcW w:w="5233" w:type="dxa"/>
            <w:vAlign w:val="center"/>
          </w:tcPr>
          <w:p>
            <w:pPr>
              <w:adjustRightInd w:val="0"/>
              <w:snapToGrid w:val="0"/>
              <w:spacing w:line="360" w:lineRule="auto"/>
              <w:rPr>
                <w:rFonts w:ascii="仿宋_GB2312" w:hAnsi="宋体" w:eastAsia="仿宋_GB2312"/>
                <w:kern w:val="0"/>
                <w:sz w:val="24"/>
              </w:rPr>
            </w:pPr>
            <w:r>
              <w:rPr>
                <w:rFonts w:hint="eastAsia" w:ascii="仿宋_GB2312" w:hAnsi="宋体" w:eastAsia="仿宋_GB2312"/>
                <w:kern w:val="0"/>
                <w:sz w:val="24"/>
              </w:rPr>
              <w:t>投标人认为有必须提交的其他证明材料。</w:t>
            </w:r>
          </w:p>
        </w:tc>
      </w:tr>
    </w:tbl>
    <w:p>
      <w:pPr>
        <w:spacing w:line="360" w:lineRule="auto"/>
        <w:jc w:val="left"/>
        <w:rPr>
          <w:rFonts w:ascii="仿宋_GB2312" w:hAnsi="宋体" w:eastAsia="仿宋_GB2312"/>
          <w:kern w:val="0"/>
          <w:sz w:val="24"/>
        </w:rPr>
      </w:pPr>
    </w:p>
    <w:p>
      <w:pPr>
        <w:pStyle w:val="4"/>
        <w:rPr>
          <w:rFonts w:ascii="仿宋_GB2312" w:hAnsi="宋体" w:eastAsia="仿宋_GB2312"/>
          <w:b w:val="0"/>
          <w:bCs w:val="0"/>
          <w:kern w:val="0"/>
          <w:sz w:val="24"/>
          <w:szCs w:val="24"/>
        </w:rPr>
      </w:pPr>
      <w:r>
        <w:rPr>
          <w:rFonts w:hint="eastAsia" w:ascii="仿宋_GB2312" w:hAnsi="宋体" w:eastAsia="仿宋_GB2312"/>
          <w:b w:val="0"/>
          <w:bCs w:val="0"/>
          <w:kern w:val="0"/>
          <w:sz w:val="24"/>
          <w:szCs w:val="24"/>
        </w:rPr>
        <w:t>3</w:t>
      </w:r>
      <w:r>
        <w:rPr>
          <w:rFonts w:ascii="仿宋_GB2312" w:hAnsi="宋体" w:eastAsia="仿宋_GB2312"/>
          <w:b w:val="0"/>
          <w:bCs w:val="0"/>
          <w:kern w:val="0"/>
          <w:sz w:val="24"/>
          <w:szCs w:val="24"/>
        </w:rPr>
        <w:t>.</w:t>
      </w:r>
      <w:r>
        <w:rPr>
          <w:rFonts w:hint="eastAsia" w:ascii="仿宋_GB2312" w:hAnsi="宋体" w:eastAsia="仿宋_GB2312"/>
          <w:b w:val="0"/>
          <w:bCs w:val="0"/>
          <w:kern w:val="0"/>
          <w:sz w:val="24"/>
          <w:szCs w:val="24"/>
        </w:rPr>
        <w:t>投标报价文件</w:t>
      </w:r>
    </w:p>
    <w:p>
      <w:pPr>
        <w:rPr>
          <w:rFonts w:ascii="仿宋_GB2312" w:hAnsi="宋体" w:eastAsia="仿宋_GB2312"/>
          <w:kern w:val="0"/>
          <w:sz w:val="24"/>
        </w:rPr>
      </w:pPr>
      <w:r>
        <w:rPr>
          <w:rFonts w:hint="eastAsia" w:ascii="仿宋_GB2312" w:hAnsi="宋体" w:eastAsia="仿宋_GB2312"/>
          <w:kern w:val="0"/>
          <w:sz w:val="24"/>
        </w:rPr>
        <w:t>（投标</w:t>
      </w:r>
      <w:r>
        <w:rPr>
          <w:rFonts w:ascii="仿宋_GB2312" w:hAnsi="宋体" w:eastAsia="仿宋_GB2312"/>
          <w:kern w:val="0"/>
          <w:sz w:val="24"/>
        </w:rPr>
        <w:t>报价表</w:t>
      </w:r>
      <w:r>
        <w:rPr>
          <w:rFonts w:hint="eastAsia" w:ascii="仿宋_GB2312" w:hAnsi="宋体" w:eastAsia="仿宋_GB2312"/>
          <w:kern w:val="0"/>
          <w:sz w:val="24"/>
        </w:rPr>
        <w:t>（开标一览表）（详见附表）</w:t>
      </w:r>
    </w:p>
    <w:p>
      <w:pPr>
        <w:rPr>
          <w:rFonts w:ascii="仿宋_GB2312" w:hAnsi="宋体" w:eastAsia="仿宋_GB2312"/>
          <w:kern w:val="0"/>
          <w:sz w:val="24"/>
        </w:rPr>
      </w:pPr>
    </w:p>
    <w:p>
      <w:pPr>
        <w:adjustRightInd w:val="0"/>
        <w:snapToGrid w:val="0"/>
        <w:spacing w:line="360" w:lineRule="auto"/>
        <w:rPr>
          <w:rFonts w:ascii="仿宋_GB2312" w:hAnsi="宋体" w:eastAsia="仿宋_GB2312"/>
          <w:kern w:val="0"/>
          <w:sz w:val="24"/>
        </w:rPr>
      </w:pPr>
      <w:r>
        <w:rPr>
          <w:rFonts w:hint="eastAsia" w:ascii="仿宋_GB2312" w:hAnsi="宋体" w:eastAsia="仿宋_GB2312"/>
          <w:kern w:val="0"/>
          <w:sz w:val="24"/>
        </w:rPr>
        <w:t>说明：</w:t>
      </w:r>
    </w:p>
    <w:p>
      <w:pPr>
        <w:numPr>
          <w:ilvl w:val="0"/>
          <w:numId w:val="1"/>
        </w:numPr>
        <w:spacing w:line="360" w:lineRule="auto"/>
        <w:ind w:firstLine="480" w:firstLineChars="200"/>
        <w:jc w:val="left"/>
        <w:rPr>
          <w:rFonts w:ascii="仿宋_GB2312" w:hAnsi="宋体" w:eastAsia="仿宋_GB2312"/>
          <w:kern w:val="0"/>
          <w:sz w:val="24"/>
        </w:rPr>
      </w:pPr>
      <w:r>
        <w:rPr>
          <w:rFonts w:hint="eastAsia" w:ascii="仿宋_GB2312" w:hAnsi="宋体" w:eastAsia="仿宋_GB2312"/>
          <w:kern w:val="0"/>
          <w:sz w:val="24"/>
        </w:rPr>
        <w:t>参照绍兴市医药行业协会发布的配方颗粒</w:t>
      </w:r>
      <w:r>
        <w:rPr>
          <w:rFonts w:hint="eastAsia" w:ascii="仿宋_GB2312" w:hAnsi="宋体" w:eastAsia="仿宋_GB2312"/>
          <w:b/>
          <w:bCs/>
          <w:kern w:val="0"/>
          <w:sz w:val="24"/>
        </w:rPr>
        <w:t>最高零售价</w:t>
      </w:r>
      <w:r>
        <w:rPr>
          <w:rFonts w:hint="eastAsia" w:ascii="仿宋_GB2312" w:hAnsi="宋体" w:eastAsia="仿宋_GB2312"/>
          <w:kern w:val="0"/>
          <w:sz w:val="24"/>
        </w:rPr>
        <w:t>为基础，按统一扣率报价且不得超出80%。</w:t>
      </w:r>
    </w:p>
    <w:p>
      <w:pPr>
        <w:spacing w:line="360" w:lineRule="auto"/>
        <w:ind w:firstLine="480" w:firstLineChars="200"/>
        <w:jc w:val="left"/>
        <w:rPr>
          <w:rFonts w:ascii="仿宋_GB2312" w:hAnsi="宋体" w:eastAsia="仿宋_GB2312"/>
          <w:bCs/>
          <w:color w:val="FF0000"/>
          <w:sz w:val="24"/>
        </w:rPr>
      </w:pPr>
      <w:r>
        <w:rPr>
          <w:rFonts w:hint="eastAsia" w:ascii="仿宋_GB2312" w:hAnsi="宋体" w:eastAsia="仿宋_GB2312"/>
          <w:kern w:val="0"/>
          <w:sz w:val="24"/>
        </w:rPr>
        <w:t>（2）</w:t>
      </w:r>
      <w:r>
        <w:rPr>
          <w:rFonts w:hint="eastAsia" w:ascii="仿宋_GB2312" w:hAnsi="宋体" w:eastAsia="仿宋_GB2312"/>
          <w:bCs/>
          <w:sz w:val="24"/>
        </w:rPr>
        <w:t>实际中药配方颗粒采购价按每克配方颗粒最高供应价乘以投标扣率计，折算最小销售包装规格后保留2位小数。</w:t>
      </w:r>
    </w:p>
    <w:p>
      <w:pPr>
        <w:spacing w:line="360" w:lineRule="auto"/>
        <w:ind w:firstLine="480" w:firstLineChars="200"/>
        <w:jc w:val="left"/>
        <w:rPr>
          <w:rFonts w:ascii="仿宋_GB2312" w:hAnsi="宋体" w:eastAsia="仿宋_GB2312"/>
          <w:b/>
          <w:color w:val="FF0000"/>
          <w:sz w:val="24"/>
        </w:rPr>
      </w:pPr>
      <w:r>
        <w:rPr>
          <w:rFonts w:hint="eastAsia" w:ascii="仿宋_GB2312" w:hAnsi="宋体" w:eastAsia="仿宋_GB2312"/>
          <w:kern w:val="0"/>
          <w:sz w:val="24"/>
        </w:rPr>
        <w:t>（3）预估年采购数量为估算值，具体采购量根据医院实际需求确定。</w:t>
      </w:r>
    </w:p>
    <w:p>
      <w:pPr>
        <w:spacing w:line="360" w:lineRule="auto"/>
        <w:ind w:firstLine="477" w:firstLineChars="199"/>
        <w:jc w:val="left"/>
        <w:rPr>
          <w:rFonts w:ascii="仿宋_GB2312" w:hAnsi="宋体" w:eastAsia="仿宋_GB2312"/>
          <w:kern w:val="0"/>
          <w:sz w:val="24"/>
        </w:rPr>
      </w:pPr>
      <w:r>
        <w:rPr>
          <w:rFonts w:hint="eastAsia" w:ascii="仿宋_GB2312" w:hAnsi="宋体" w:eastAsia="仿宋_GB2312"/>
          <w:kern w:val="0"/>
          <w:sz w:val="24"/>
        </w:rPr>
        <w:t>（4）报价一经涂改，应在涂改处加盖单位公章或者由法定代表人或授权委托人签字或盖章，否则其投标作无效标处理。</w:t>
      </w:r>
    </w:p>
    <w:p>
      <w:pPr>
        <w:pStyle w:val="9"/>
        <w:rPr>
          <w:rFonts w:hAnsi="宋体"/>
          <w:kern w:val="0"/>
          <w:highlight w:val="yellow"/>
        </w:rPr>
      </w:pP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（二）投标文件的语言及计量</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1.投标文件以及投标方与招标方就有关投标事宜的所有来往函电，均应以中文汉语书写。除签名、盖章、专用名称等特殊情形外，以中文汉语以外的文字表述的投标文件视同未提供。</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（三）投标报价</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 投标报价应按招标文件中相关附表格式填写，该报价包含税费、包装、库运、保险、检验等所有费用。</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 报价应遵循质量优先、价格合理的原则，不得进行恶意竞争。</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3.投标文件只允许有一个报价，有选择或有条件的报价将不予接受，其投标无效。</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（四）投标文件的有效期</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1.自投标截止日起 90 天投标文件应保持有效。有效期不足的投标文件将被视为无效。</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2.在特殊情况下，招标人可与投标人协商延长投标书的有效期，这种要求和答复均以书面形式进行。</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 xml:space="preserve">3.投标人可拒绝接受延期要求。同意延长有效期的，投标人不得修改投标文件。 </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4.中标人的投标文件自开标之日起至合同履行完毕止均应保持有效。</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（五）投标文件的装订、签署和份数</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1.投标人应按本招标文件规定的格式和顺序编制、装订投标文件并标注页码，投标文件内容不完整、编排混乱导致投标文件被误读、漏读或者查找不到相关内容的，是投标人的责任。</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2.投标人应按资格证明文件、技术标文件和报价文件分别编制并单独装订成册。正本各1份，副本各</w:t>
      </w:r>
      <w:r>
        <w:rPr>
          <w:rFonts w:ascii="仿宋_GB2312" w:hAnsi="宋体" w:eastAsia="仿宋_GB2312"/>
          <w:kern w:val="0"/>
          <w:sz w:val="24"/>
        </w:rPr>
        <w:t>4</w:t>
      </w:r>
      <w:r>
        <w:rPr>
          <w:rFonts w:hint="eastAsia" w:ascii="仿宋_GB2312" w:hAnsi="宋体" w:eastAsia="仿宋_GB2312"/>
          <w:kern w:val="0"/>
          <w:sz w:val="24"/>
        </w:rPr>
        <w:t>份。投标文件的封面应注明“正本”、“副本”字样。采用活页装订的投标文件将被拒绝，并由现场工作人员退还投标人代表。</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3.投标文件的正本需打印或用不褪色的墨水填写，副本为正本的复印件。</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4.投标文件须由投标人在规定位置盖章并由法定代表人或法定代表人的授权委托人签署，投标人应写全称。</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5.投标文件不得涂改，若有修改错漏处，须加盖单位公章或者法定代表人或授权委托人签字或盖章。投标文件因字迹潦草或表达不清所引起的后果由投标人负责。</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（六）投标文件的包装、递交、修改和撤回</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1.投标人应按资格证明文件、技术标文件、报价文件三部分分别包装和密封投标文件。</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2.投标文件的包装封面上应注明投标人名称、投标人地址、投标文件名称（资格证明文件、技术标文件及报价文件）、投标项目名称、项目编号、标项及“在  年  月  日  时  分之前不得启封”字样，并加盖投标人公章。</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 未按规定将资格证明文件、技术标文件、报价文件三部分分别包装的，如开标时发生报价泄露的，由供应商自行承担相关责任。未按规定密封的投标文件将被拒绝，并由工作人员退还投标人代表。</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4.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（七）投标人数量规定</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投标截止时间结束后参加标项投标的供应商不足三家的，除采购任务取消情形外，采购人可选择以下方式之一处理：</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1）可将本标项作废标处理，重新组织采购；</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2）可按审批意见采用其他采购方式组织采购。</w:t>
      </w:r>
    </w:p>
    <w:p>
      <w:pPr>
        <w:pStyle w:val="9"/>
      </w:pPr>
    </w:p>
    <w:p>
      <w:pPr>
        <w:pStyle w:val="19"/>
        <w:rPr>
          <w:rFonts w:ascii="仿宋_GB2312" w:hAnsi="宋体" w:eastAsia="仿宋_GB2312"/>
          <w:b w:val="0"/>
          <w:bCs w:val="0"/>
          <w:kern w:val="0"/>
          <w:sz w:val="24"/>
          <w:szCs w:val="24"/>
        </w:rPr>
      </w:pPr>
      <w:r>
        <w:rPr>
          <w:rFonts w:hint="eastAsia" w:ascii="仿宋_GB2312" w:hAnsi="宋体" w:eastAsia="仿宋_GB2312"/>
          <w:b w:val="0"/>
          <w:bCs w:val="0"/>
          <w:kern w:val="0"/>
          <w:sz w:val="24"/>
          <w:szCs w:val="24"/>
        </w:rPr>
        <w:t>四、开标</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本项目采用先评技术标，后开报价的方式进行评议。</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（一）开标</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采购代理机构将在规定的时间和地点进行开标，投标人的法定代表人或其授权代表不参加开标会。由采购人监督人员做好开标、评标现场的监督工作。</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（二）开标程序</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1.开标大会由招标人或招标代理机构主持，介绍开标现场的人员情况，宣读递交投标文件的投标人名单、开标纪律、应当回避的情形等注意事项；</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2.采购代理机构在采购人代表或者招标单位委托的公证机构或监督部门检查投标文件密封的完整性；</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3.开启技术文件：按投标人提交投标文件的先后顺序当众拆封、清点投标文件（包括正本、副本）数量，将其中密封的报价文件（含开标&lt;报价&gt;一览表，下同）现场集中封存保管等候拆封；</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提交的投标文件应当将其中的报价文件单独密封，否则如开标时发生报价泄漏的，由投标人自行承担相关责任；</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4.评标委员会对技术标进行评审；</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5.技术标评审结束后，主持人宣告技术标评审无效投标人名称及理由，投标人代表可收回未拆封的报价文件并签字确认,公布经技术标评审符合采购需求的投标人名单及技术标得分情况；</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6.拆封投标人报价文件，宣读开标（报价）一览表有关内容，同时当场制作并打印开标记录表，由唱标人、记录人和现场监督员在开标记录表上签字确认；</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7.转入报价评标阶段，现场工作人员将报价文件及开标记录护送至指定评审地点，由评标委员会对报价的合理性、准确性等进行审查核实；</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8.评审结束后，开标记录、评审结果（包括各投标单位得分情况）将以电子邮件方式通知各投标单位。</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（三）评标</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1.依法组建评标委员会。</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3.本项目评标办法是综合评分法，具体评标内容及评分标准等详见《第四部分 评标办法》。</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（四）澄清问题的形式</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snapToGrid w:val="0"/>
        <w:spacing w:line="360" w:lineRule="auto"/>
        <w:ind w:firstLine="590" w:firstLineChars="246"/>
        <w:jc w:val="left"/>
        <w:outlineLvl w:val="2"/>
        <w:rPr>
          <w:rFonts w:ascii="仿宋_GB2312" w:hAnsi="宋体" w:eastAsia="仿宋_GB2312"/>
          <w:kern w:val="0"/>
          <w:sz w:val="24"/>
        </w:rPr>
      </w:pPr>
      <w:r>
        <w:rPr>
          <w:rFonts w:hint="eastAsia" w:ascii="仿宋_GB2312" w:hAnsi="宋体" w:eastAsia="仿宋_GB2312"/>
          <w:kern w:val="0"/>
          <w:sz w:val="24"/>
        </w:rPr>
        <w:t>（五）错误修正</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投标文件如果出现计算或表达上的错误，修正错误的原则如下：</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1.投标文件中开标一览表内容与投标文件中相应内容不一致的，以开标一览表为准；</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2.大写金额和小写金额不一致的，以大写金额为准；</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3.单价金额小数点或者百分比有明显错位的，以开标一览表的报价为准，并修改单价；</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4.总价金额与按单价汇总金额不一致的，以单价金额计算结果为准。</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同时出现两种以上不一致的，按照前款规定的顺序修正。评标委员会应当以书面形式要求投标人对修正后的报价予以确认并对投标人产生约束力。投标人不予确认的，其投标无效。</w:t>
      </w:r>
    </w:p>
    <w:p>
      <w:pPr>
        <w:spacing w:line="360" w:lineRule="auto"/>
        <w:ind w:firstLine="480" w:firstLineChars="200"/>
        <w:rPr>
          <w:rFonts w:ascii="仿宋_GB2312" w:hAnsi="宋体" w:eastAsia="仿宋_GB2312"/>
          <w:kern w:val="0"/>
          <w:sz w:val="24"/>
        </w:rPr>
      </w:pPr>
    </w:p>
    <w:p>
      <w:pPr>
        <w:pStyle w:val="19"/>
        <w:rPr>
          <w:rFonts w:ascii="仿宋_GB2312" w:hAnsi="宋体" w:eastAsia="仿宋_GB2312"/>
          <w:b w:val="0"/>
          <w:bCs w:val="0"/>
          <w:kern w:val="0"/>
          <w:sz w:val="24"/>
          <w:szCs w:val="24"/>
        </w:rPr>
      </w:pPr>
      <w:r>
        <w:rPr>
          <w:rFonts w:hint="eastAsia" w:ascii="仿宋_GB2312" w:hAnsi="宋体" w:eastAsia="仿宋_GB2312"/>
          <w:b w:val="0"/>
          <w:bCs w:val="0"/>
          <w:kern w:val="0"/>
          <w:sz w:val="24"/>
          <w:szCs w:val="24"/>
        </w:rPr>
        <w:t>五、定标</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（一）确定中标人。本项目由采购人（或采购人事先授权评标委员会）确定中标人。</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1、采购代理机构在评标结束后将评标报告交采购人确认，确认在发布招标公告的网站上对评标结果进行公示。</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2、投标人对评标结果无异议的，采购人应在收到评标报告后5个工作日内对评标结果进行确认。如有投标人对评标结果提出质疑的，采购人可在质疑处理完毕后确定中标人。</w:t>
      </w:r>
    </w:p>
    <w:p>
      <w:pPr>
        <w:pStyle w:val="19"/>
        <w:rPr>
          <w:rFonts w:ascii="仿宋_GB2312" w:hAnsi="宋体" w:eastAsia="仿宋_GB2312"/>
          <w:b w:val="0"/>
          <w:bCs w:val="0"/>
          <w:kern w:val="0"/>
          <w:sz w:val="24"/>
          <w:szCs w:val="24"/>
        </w:rPr>
      </w:pPr>
      <w:r>
        <w:rPr>
          <w:rFonts w:hint="eastAsia" w:ascii="仿宋_GB2312" w:hAnsi="宋体" w:eastAsia="仿宋_GB2312"/>
          <w:b w:val="0"/>
          <w:bCs w:val="0"/>
          <w:kern w:val="0"/>
          <w:sz w:val="24"/>
          <w:szCs w:val="24"/>
        </w:rPr>
        <w:t>六、合同授予</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（一）签订合同</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1、招标文件、中标人的投标文件及其澄清文件等，均为签订合同的依据。中标人自接到中标通知书后30天内，必须依照《中华人民共和国民法典》、招标文件、投标文件各项条款的要约与承诺与招标人签订合同。</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2、中标人如不遵守招标文件或投标文件各项条款的要约与承诺，在接到中标通知书后借故拖延，拒签合同或拒交履约保证金的。招标人将依据国家和浙江省招标投标的有关规定，另行选择中标人。</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中标人（备标人）提供的应是经合法途径取得的质量合格的产品，符合现行国家或行业技术及相关标准和招标文件的规定。因中标人（备标人）提供的产品达不到中药配方颗粒质量标准，中标人（备标人）承担违约责任。</w:t>
      </w:r>
    </w:p>
    <w:p>
      <w:pPr>
        <w:pStyle w:val="9"/>
        <w:rPr>
          <w:rFonts w:hAnsi="宋体"/>
          <w:kern w:val="0"/>
        </w:rPr>
      </w:pPr>
      <w:r>
        <w:rPr>
          <w:rFonts w:hint="eastAsia" w:hAnsi="宋体"/>
          <w:kern w:val="0"/>
        </w:rPr>
        <w:t xml:space="preserve">    4、遇以下情况，招标人有权向备标人或其他生产企业采购</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（1）中标人未能履行合同规定的义务；</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（2）有严重影响甲方的正常工作及形象的行为；</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（3）与招标文件不符合的做法，或未履行其投标文件的承诺。</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（二）招标代理服务费（中标服务费）</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招标代理服务费按“投标人须知前附表”中规定向中标人收取。</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（三）履约保证金</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1.签订合同前，中标人应按招标文件确定的履约保证金的金额，向招标人交纳履约保证金（如有）。</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2.签订合同后，如中标人不按双方合同约定履约，则没收其全部履约保证金，履约保证金不足以赔偿损失的，按实际损失赔偿。</w:t>
      </w:r>
    </w:p>
    <w:p>
      <w:pPr>
        <w:tabs>
          <w:tab w:val="left" w:pos="0"/>
        </w:tabs>
        <w:spacing w:line="440" w:lineRule="exact"/>
        <w:ind w:firstLine="480" w:firstLineChars="200"/>
        <w:rPr>
          <w:rFonts w:ascii="仿宋_GB2312" w:hAnsi="宋体" w:eastAsia="仿宋_GB2312"/>
          <w:kern w:val="0"/>
          <w:sz w:val="24"/>
        </w:rPr>
      </w:pPr>
      <w:r>
        <w:rPr>
          <w:rFonts w:hint="eastAsia" w:ascii="仿宋_GB2312" w:hAnsi="宋体" w:eastAsia="仿宋_GB2312"/>
          <w:kern w:val="0"/>
          <w:sz w:val="24"/>
        </w:rPr>
        <w:t>3．履约保证金（不计息）将在合同终止后15天内退还。</w:t>
      </w:r>
    </w:p>
    <w:p>
      <w:pPr>
        <w:pStyle w:val="2"/>
        <w:jc w:val="center"/>
        <w:rPr>
          <w:sz w:val="32"/>
          <w:szCs w:val="32"/>
        </w:rPr>
      </w:pPr>
      <w:r>
        <w:rPr>
          <w:rFonts w:hint="eastAsia"/>
          <w:sz w:val="32"/>
          <w:szCs w:val="32"/>
        </w:rPr>
        <w:t>第四部分  评标办法</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为公正、公平、科学地选择中标人，参照《中华人民共和国政府采购法》等有关法律法规的规定，并结合本项目的实际，制定本办法。本办法适用于本次项目的评标。</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一、总则</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本次评标采用综合评分法，总分为100分，其中技术标部分（满分70分）、报价部分（投标报价，满分30分）。在对投标人进行最终审查（评标）后，按投标得分从高到低排序，取得分最高为中选人。得分相同时，按投标价格得分从高到低优先推荐；若投标价格得分也相同，按企业综合实力得分从高到低优先推荐。仍相同情况下，由评标专家现场投票表决。评分过程中采用四舍五入法，并保留小数2位。</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技术标得分=评标委员会所有成员评分合计数/评标委员会组成人员数</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投标人评标综合得分=技术标得分+价格得分</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二、资格审查</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招标人或者招标代理机构对各投标人的资格进行审查，投标人资格条件不符合招标文件要求的投标无效，不再进入符合性审查。</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三、符合性审查</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评标委员会对资格审查合格的投标文件进行符合性审查，确定是否对招标文件作出了实质性响应。符合性审查不合格的投标无效，不再进行商务和技术评估、综合比较与评价。投标人不得通过修正或撤消不合要求的偏离或保留从而使其投标成为有效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▲1、在商务标、技术标评审时，如发现下列情形之一的，投标文件将被视为无效：</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（1）投标文件未按招标文件要求签字和盖章的；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（2）未提供法定代表人授权委托书（供应商代表不是法定代表人）、投标函或填写项目不齐全的；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（3）投标有效期不足的；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（4）未响应招标文件标注“▲”的条款的；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（5）投标技术方案不明确，存在一个或一个以上备选（替代）投标方案的；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 xml:space="preserve">（6）投标文件有招标方不能接受的附加条件的； </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（7）参加采购活动前3年内在经营活动中有重大违法记录的；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（8）不同投标人的投标文件由同一单位或者个人编制的；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（9）不同投标人委托同一单位或者个人办理投标事宜的；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（10）不同投标人的投标文件载明的项目管理成员或者联系人员为同一人的；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（11）不同投标人的投标文件异常一致或者投标报价呈规律性差异的；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（12）不同投标人的投标文件相互混装的；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（13）存在法律、法规、规章规定的其它无效投标情况的。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▲2、在报价评审时，如发现下列情形之一的，投标将被视为无效：</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（1）报价超出招标文件规定的最高限价，招标人不能支付的；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（2）投标报价具有选择性的；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（3）不接受按招标文件规定的修正错误原则修正后的报价的；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（4）评标委员会认为报价明显低于其他通过符合性审查投标人的报价，且投标人不能证明其报价合理性，有可能影响产品质量或者不能诚信履约的。</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四、技术标评审</w:t>
      </w:r>
    </w:p>
    <w:p>
      <w:pPr>
        <w:adjustRightInd w:val="0"/>
        <w:snapToGrid w:val="0"/>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1、技术标评分</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技术标评审合格的，由评标专家采用记名方式各自评分，投标人的技术标及其他的最终评审得分为全体评标专家评分的算术平均值。如某一份评分表中某一项评分超过评分细则所规定的分值范围，则该份打分表无效。各投标人技术标得分为所有评委有效评分的算术平均值。</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 xml:space="preserve">2、评标报告 </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 xml:space="preserve">评标委员会应根据评标情况和结果，编写评标报告。评标报告应由评标委员会起草，按少数服从多数的原则通过。评标委员会全体成员应在评标报告上签字认可，评标专家如有保留意见可以在评标报告中阐明。 </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评标委员会应在评标报告中按招标文件约定推荐中标候选人。</w:t>
      </w:r>
    </w:p>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五、评分细则</w:t>
      </w:r>
    </w:p>
    <w:p>
      <w:pPr>
        <w:spacing w:line="360" w:lineRule="auto"/>
        <w:ind w:firstLine="482" w:firstLineChars="200"/>
        <w:rPr>
          <w:rFonts w:ascii="仿宋_GB2312" w:hAnsi="宋体" w:eastAsia="仿宋_GB2312"/>
          <w:b/>
          <w:kern w:val="0"/>
          <w:sz w:val="24"/>
        </w:rPr>
      </w:pPr>
      <w:r>
        <w:rPr>
          <w:rFonts w:hint="eastAsia" w:ascii="仿宋_GB2312" w:hAnsi="宋体" w:eastAsia="仿宋_GB2312"/>
          <w:b/>
          <w:kern w:val="0"/>
          <w:sz w:val="24"/>
        </w:rPr>
        <w:t>1、投标人递交的证明文件应为国家企业信用信息公示系统页面截图、企业监管部门、官方认证机构及政府等部门认可的信息资料，评审细则另有规定的除外。</w:t>
      </w:r>
    </w:p>
    <w:p>
      <w:pPr>
        <w:ind w:firstLine="482" w:firstLineChars="200"/>
        <w:rPr>
          <w:rFonts w:ascii="仿宋_GB2312" w:hAnsi="宋体" w:eastAsia="仿宋_GB2312"/>
          <w:b/>
          <w:kern w:val="0"/>
          <w:sz w:val="24"/>
        </w:rPr>
      </w:pPr>
      <w:r>
        <w:rPr>
          <w:rFonts w:hint="eastAsia" w:ascii="仿宋_GB2312" w:hAnsi="宋体" w:eastAsia="仿宋_GB2312"/>
          <w:b/>
          <w:kern w:val="0"/>
          <w:sz w:val="24"/>
        </w:rPr>
        <w:t>2、投标人投标所使用的资格、信誉、业绩与企业认证必须和投标单位为同一法人单位。</w:t>
      </w:r>
    </w:p>
    <w:p>
      <w:pPr>
        <w:rPr>
          <w:rFonts w:ascii="仿宋_GB2312" w:hAnsi="宋体" w:eastAsia="仿宋_GB2312"/>
          <w:b/>
          <w:kern w:val="0"/>
          <w:sz w:val="24"/>
        </w:rPr>
      </w:pPr>
      <w:r>
        <w:rPr>
          <w:rFonts w:hint="eastAsia" w:ascii="仿宋_GB2312" w:hAnsi="宋体" w:eastAsia="仿宋_GB2312"/>
          <w:b/>
          <w:kern w:val="0"/>
          <w:sz w:val="24"/>
        </w:rPr>
        <w:br w:type="page"/>
      </w:r>
    </w:p>
    <w:p>
      <w:pPr>
        <w:ind w:firstLine="482" w:firstLineChars="200"/>
        <w:rPr>
          <w:rFonts w:ascii="仿宋_GB2312" w:hAnsi="宋体" w:eastAsia="仿宋_GB2312"/>
          <w:b/>
          <w:kern w:val="0"/>
          <w:sz w:val="24"/>
        </w:rPr>
      </w:pPr>
    </w:p>
    <w:tbl>
      <w:tblPr>
        <w:tblStyle w:val="26"/>
        <w:tblW w:w="9902" w:type="dxa"/>
        <w:tblInd w:w="-67" w:type="dxa"/>
        <w:tblLayout w:type="fixed"/>
        <w:tblCellMar>
          <w:top w:w="0" w:type="dxa"/>
          <w:left w:w="108" w:type="dxa"/>
          <w:bottom w:w="0" w:type="dxa"/>
          <w:right w:w="108" w:type="dxa"/>
        </w:tblCellMar>
      </w:tblPr>
      <w:tblGrid>
        <w:gridCol w:w="1178"/>
        <w:gridCol w:w="1140"/>
        <w:gridCol w:w="5284"/>
        <w:gridCol w:w="2300"/>
      </w:tblGrid>
      <w:tr>
        <w:tblPrEx>
          <w:tblCellMar>
            <w:top w:w="0" w:type="dxa"/>
            <w:left w:w="108" w:type="dxa"/>
            <w:bottom w:w="0" w:type="dxa"/>
            <w:right w:w="108" w:type="dxa"/>
          </w:tblCellMar>
        </w:tblPrEx>
        <w:trPr>
          <w:trHeight w:val="760" w:hRule="atLeast"/>
        </w:trPr>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rPr>
                <w:rFonts w:ascii="宋体" w:hAnsi="宋体" w:cs="宋体"/>
                <w:b/>
                <w:bCs/>
                <w:color w:val="000000"/>
                <w:sz w:val="22"/>
                <w:szCs w:val="22"/>
              </w:rPr>
            </w:pPr>
            <w:r>
              <w:rPr>
                <w:rFonts w:hint="eastAsia" w:ascii="仿宋_GB2312" w:hAnsi="宋体" w:eastAsia="仿宋_GB2312"/>
                <w:b/>
                <w:kern w:val="0"/>
                <w:sz w:val="24"/>
              </w:rPr>
              <w:br w:type="page"/>
            </w:r>
            <w:r>
              <w:rPr>
                <w:rFonts w:hint="eastAsia" w:ascii="宋体" w:hAnsi="宋体" w:cs="宋体"/>
                <w:b/>
                <w:bCs/>
                <w:color w:val="000000"/>
                <w:kern w:val="0"/>
                <w:sz w:val="22"/>
                <w:szCs w:val="22"/>
                <w:lang w:bidi="ar"/>
              </w:rPr>
              <w:t>项目类别</w:t>
            </w:r>
          </w:p>
        </w:tc>
        <w:tc>
          <w:tcPr>
            <w:tcW w:w="114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评分内容</w:t>
            </w:r>
          </w:p>
        </w:tc>
        <w:tc>
          <w:tcPr>
            <w:tcW w:w="5284"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评分标准（方法）</w:t>
            </w:r>
          </w:p>
        </w:tc>
        <w:tc>
          <w:tcPr>
            <w:tcW w:w="230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依据与方式</w:t>
            </w:r>
          </w:p>
        </w:tc>
      </w:tr>
      <w:tr>
        <w:tblPrEx>
          <w:tblCellMar>
            <w:top w:w="0" w:type="dxa"/>
            <w:left w:w="108" w:type="dxa"/>
            <w:bottom w:w="0" w:type="dxa"/>
            <w:right w:w="108" w:type="dxa"/>
          </w:tblCellMar>
        </w:tblPrEx>
        <w:trPr>
          <w:trHeight w:val="1080" w:hRule="atLeast"/>
        </w:trPr>
        <w:tc>
          <w:tcPr>
            <w:tcW w:w="117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一.综合评价</w:t>
            </w:r>
          </w:p>
        </w:tc>
        <w:tc>
          <w:tcPr>
            <w:tcW w:w="11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1.1 企业信誉</w:t>
            </w:r>
            <w:r>
              <w:rPr>
                <w:rFonts w:hint="eastAsia" w:ascii="宋体" w:hAnsi="宋体" w:cs="宋体"/>
                <w:b/>
                <w:bCs/>
                <w:color w:val="000000"/>
                <w:kern w:val="0"/>
                <w:sz w:val="20"/>
                <w:szCs w:val="20"/>
                <w:lang w:bidi="ar"/>
              </w:rPr>
              <w:t>（2分）</w:t>
            </w:r>
          </w:p>
        </w:tc>
        <w:tc>
          <w:tcPr>
            <w:tcW w:w="5284"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lang w:bidi="ar"/>
              </w:rPr>
              <w:t>2021-2022年度均被信用中国（www.creditchina.gov.cn）评为“纳税信用A级纳税人”得2分，其中1年为“纳税信用A级纳税人”得1分，其余不得分。</w:t>
            </w:r>
          </w:p>
        </w:tc>
        <w:tc>
          <w:tcPr>
            <w:tcW w:w="230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rPr>
            </w:pPr>
            <w:r>
              <w:rPr>
                <w:rFonts w:hint="eastAsia" w:ascii="宋体" w:hAnsi="宋体" w:cs="宋体"/>
                <w:color w:val="000000"/>
                <w:kern w:val="0"/>
                <w:lang w:bidi="ar"/>
              </w:rPr>
              <w:t>提供信用中国（www.creditchina.gov.cn）“下载信用信息”文档或页面截图。</w:t>
            </w:r>
          </w:p>
        </w:tc>
      </w:tr>
      <w:tr>
        <w:tblPrEx>
          <w:tblCellMar>
            <w:top w:w="0" w:type="dxa"/>
            <w:left w:w="108" w:type="dxa"/>
            <w:bottom w:w="0" w:type="dxa"/>
            <w:right w:w="108" w:type="dxa"/>
          </w:tblCellMar>
        </w:tblPrEx>
        <w:trPr>
          <w:trHeight w:val="1055" w:hRule="atLeast"/>
        </w:trPr>
        <w:tc>
          <w:tcPr>
            <w:tcW w:w="117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0"/>
                <w:szCs w:val="20"/>
              </w:rPr>
            </w:pPr>
          </w:p>
        </w:tc>
        <w:tc>
          <w:tcPr>
            <w:tcW w:w="11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1.2 企业认证体系 </w:t>
            </w:r>
            <w:r>
              <w:rPr>
                <w:rFonts w:hint="eastAsia" w:ascii="宋体" w:hAnsi="宋体" w:cs="宋体"/>
                <w:b/>
                <w:bCs/>
                <w:color w:val="000000"/>
                <w:kern w:val="0"/>
                <w:sz w:val="20"/>
                <w:szCs w:val="20"/>
                <w:lang w:bidi="ar"/>
              </w:rPr>
              <w:t>（3分）</w:t>
            </w:r>
          </w:p>
        </w:tc>
        <w:tc>
          <w:tcPr>
            <w:tcW w:w="5284"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评委对投标人获得“质量ISO9001体系”、“环境ISO140001体系”、“测量管理ISO10012体系”的三种认证体系情况进行评定。获得三项体系认证的得3分，每缺一种认证体系扣1分。</w:t>
            </w:r>
          </w:p>
        </w:tc>
        <w:tc>
          <w:tcPr>
            <w:tcW w:w="230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投标人提供认证证书</w:t>
            </w:r>
          </w:p>
        </w:tc>
      </w:tr>
      <w:tr>
        <w:tblPrEx>
          <w:tblCellMar>
            <w:top w:w="0" w:type="dxa"/>
            <w:left w:w="108" w:type="dxa"/>
            <w:bottom w:w="0" w:type="dxa"/>
            <w:right w:w="108" w:type="dxa"/>
          </w:tblCellMar>
        </w:tblPrEx>
        <w:trPr>
          <w:trHeight w:val="1055" w:hRule="atLeast"/>
        </w:trPr>
        <w:tc>
          <w:tcPr>
            <w:tcW w:w="117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0"/>
                <w:szCs w:val="20"/>
              </w:rPr>
            </w:pPr>
          </w:p>
        </w:tc>
        <w:tc>
          <w:tcPr>
            <w:tcW w:w="11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1.3 实验室等级  </w:t>
            </w:r>
            <w:r>
              <w:rPr>
                <w:rFonts w:hint="eastAsia" w:ascii="宋体" w:hAnsi="宋体" w:cs="宋体"/>
                <w:b/>
                <w:bCs/>
                <w:color w:val="000000"/>
                <w:kern w:val="0"/>
                <w:sz w:val="20"/>
                <w:szCs w:val="20"/>
                <w:lang w:bidi="ar"/>
              </w:rPr>
              <w:t>（5分）</w:t>
            </w:r>
          </w:p>
        </w:tc>
        <w:tc>
          <w:tcPr>
            <w:tcW w:w="5284"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投标人独立拥有中药相关国家级实验室的得5分；独立拥有中药相关省级实验室的得2.5分；无相应实验室或实验室与中药无关联的不得分。（上述各项不累计加分，取最高得分）</w:t>
            </w:r>
          </w:p>
        </w:tc>
        <w:tc>
          <w:tcPr>
            <w:tcW w:w="230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投标人提供证明材料</w:t>
            </w:r>
          </w:p>
        </w:tc>
      </w:tr>
      <w:tr>
        <w:tblPrEx>
          <w:tblCellMar>
            <w:top w:w="0" w:type="dxa"/>
            <w:left w:w="108" w:type="dxa"/>
            <w:bottom w:w="0" w:type="dxa"/>
            <w:right w:w="108" w:type="dxa"/>
          </w:tblCellMar>
        </w:tblPrEx>
        <w:trPr>
          <w:trHeight w:val="795" w:hRule="atLeast"/>
        </w:trPr>
        <w:tc>
          <w:tcPr>
            <w:tcW w:w="117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0"/>
                <w:szCs w:val="20"/>
              </w:rPr>
            </w:pPr>
          </w:p>
        </w:tc>
        <w:tc>
          <w:tcPr>
            <w:tcW w:w="11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1.4 相关专利情况 </w:t>
            </w:r>
            <w:r>
              <w:rPr>
                <w:rFonts w:hint="eastAsia" w:ascii="宋体" w:hAnsi="宋体" w:cs="宋体"/>
                <w:b/>
                <w:bCs/>
                <w:color w:val="000000"/>
                <w:kern w:val="0"/>
                <w:sz w:val="20"/>
                <w:szCs w:val="20"/>
                <w:lang w:bidi="ar"/>
              </w:rPr>
              <w:t>（5分）</w:t>
            </w:r>
          </w:p>
        </w:tc>
        <w:tc>
          <w:tcPr>
            <w:tcW w:w="5284"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投标人拥有中药配方颗粒相关的种植、检测、制备、生产、应用等方面的发明专利，每个得0.25分，最多得5分。</w:t>
            </w:r>
          </w:p>
        </w:tc>
        <w:tc>
          <w:tcPr>
            <w:tcW w:w="230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投标人提供证明材料</w:t>
            </w:r>
          </w:p>
        </w:tc>
      </w:tr>
      <w:tr>
        <w:tblPrEx>
          <w:tblCellMar>
            <w:top w:w="0" w:type="dxa"/>
            <w:left w:w="108" w:type="dxa"/>
            <w:bottom w:w="0" w:type="dxa"/>
            <w:right w:w="108" w:type="dxa"/>
          </w:tblCellMar>
        </w:tblPrEx>
        <w:trPr>
          <w:trHeight w:val="1000" w:hRule="atLeast"/>
        </w:trPr>
        <w:tc>
          <w:tcPr>
            <w:tcW w:w="1178"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二.产品质量</w:t>
            </w:r>
          </w:p>
        </w:tc>
        <w:tc>
          <w:tcPr>
            <w:tcW w:w="11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2.1 质量标准制定 </w:t>
            </w:r>
            <w:r>
              <w:rPr>
                <w:rFonts w:hint="eastAsia" w:ascii="宋体" w:hAnsi="宋体" w:cs="宋体"/>
                <w:b/>
                <w:bCs/>
                <w:color w:val="000000"/>
                <w:kern w:val="0"/>
                <w:sz w:val="20"/>
                <w:szCs w:val="20"/>
                <w:lang w:bidi="ar"/>
              </w:rPr>
              <w:t>（6分）</w:t>
            </w:r>
          </w:p>
        </w:tc>
        <w:tc>
          <w:tcPr>
            <w:tcW w:w="5284"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投标人参与国家级标准制定得6分，参与浙江省省级标准制定得3分，没有参与不得分。（上述各项不累计加分，取最高得分）</w:t>
            </w:r>
          </w:p>
        </w:tc>
        <w:tc>
          <w:tcPr>
            <w:tcW w:w="230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提供相关资料复印件，以药典委或药监部门出具的证明文件为准，并且必须有列出投标人参与制定标准的具体品种清单</w:t>
            </w:r>
          </w:p>
        </w:tc>
      </w:tr>
      <w:tr>
        <w:tblPrEx>
          <w:tblCellMar>
            <w:top w:w="0" w:type="dxa"/>
            <w:left w:w="108" w:type="dxa"/>
            <w:bottom w:w="0" w:type="dxa"/>
            <w:right w:w="108" w:type="dxa"/>
          </w:tblCellMar>
        </w:tblPrEx>
        <w:trPr>
          <w:trHeight w:val="1055" w:hRule="atLeast"/>
        </w:trPr>
        <w:tc>
          <w:tcPr>
            <w:tcW w:w="117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0"/>
                <w:szCs w:val="20"/>
              </w:rPr>
            </w:pPr>
          </w:p>
        </w:tc>
        <w:tc>
          <w:tcPr>
            <w:tcW w:w="11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2.2 生产工艺先进性</w:t>
            </w:r>
            <w:r>
              <w:rPr>
                <w:rFonts w:hint="eastAsia" w:ascii="宋体" w:hAnsi="宋体" w:cs="宋体"/>
                <w:b/>
                <w:bCs/>
                <w:color w:val="000000"/>
                <w:kern w:val="0"/>
                <w:sz w:val="20"/>
                <w:szCs w:val="20"/>
                <w:lang w:bidi="ar"/>
              </w:rPr>
              <w:t>（3分）</w:t>
            </w:r>
          </w:p>
        </w:tc>
        <w:tc>
          <w:tcPr>
            <w:tcW w:w="5284"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根据有关生产工艺的相关材料进行评价。拥有喷雾或真空带氏干燥技术等主流工艺并能结合药材的自身理化性质采用适宜干燥技术的，评定为优的得3分；其他情况按0-2分酌情赋分。</w:t>
            </w:r>
          </w:p>
        </w:tc>
        <w:tc>
          <w:tcPr>
            <w:tcW w:w="230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投标人提供图片结合文字说明形式的证明材料，并提供工艺所需设备相关证明材料，包括设备照片及购入发票等</w:t>
            </w:r>
          </w:p>
        </w:tc>
      </w:tr>
      <w:tr>
        <w:tblPrEx>
          <w:tblCellMar>
            <w:top w:w="0" w:type="dxa"/>
            <w:left w:w="108" w:type="dxa"/>
            <w:bottom w:w="0" w:type="dxa"/>
            <w:right w:w="108" w:type="dxa"/>
          </w:tblCellMar>
        </w:tblPrEx>
        <w:trPr>
          <w:trHeight w:val="795" w:hRule="atLeast"/>
        </w:trPr>
        <w:tc>
          <w:tcPr>
            <w:tcW w:w="117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0"/>
                <w:szCs w:val="20"/>
              </w:rPr>
            </w:pPr>
          </w:p>
        </w:tc>
        <w:tc>
          <w:tcPr>
            <w:tcW w:w="114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2.3 经营许可范围 </w:t>
            </w:r>
            <w:r>
              <w:rPr>
                <w:rFonts w:hint="eastAsia" w:ascii="宋体" w:hAnsi="宋体" w:cs="宋体"/>
                <w:b/>
                <w:bCs/>
                <w:color w:val="000000"/>
                <w:kern w:val="0"/>
                <w:sz w:val="20"/>
                <w:szCs w:val="20"/>
                <w:lang w:bidi="ar"/>
              </w:rPr>
              <w:t>（2分）</w:t>
            </w:r>
          </w:p>
        </w:tc>
        <w:tc>
          <w:tcPr>
            <w:tcW w:w="5284"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投标人拥有国家主管部门批准的野生动物、毒性类别品种经营利用许可的得2分，每少一类扣1分。</w:t>
            </w:r>
          </w:p>
        </w:tc>
        <w:tc>
          <w:tcPr>
            <w:tcW w:w="230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投标人提供野生动物及毒性类别品种的经营利用许可</w:t>
            </w:r>
          </w:p>
        </w:tc>
      </w:tr>
      <w:tr>
        <w:tblPrEx>
          <w:tblCellMar>
            <w:top w:w="0" w:type="dxa"/>
            <w:left w:w="108" w:type="dxa"/>
            <w:bottom w:w="0" w:type="dxa"/>
            <w:right w:w="108" w:type="dxa"/>
          </w:tblCellMar>
        </w:tblPrEx>
        <w:trPr>
          <w:trHeight w:val="1055" w:hRule="atLeast"/>
        </w:trPr>
        <w:tc>
          <w:tcPr>
            <w:tcW w:w="117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0"/>
                <w:szCs w:val="20"/>
              </w:rPr>
            </w:pPr>
          </w:p>
        </w:tc>
        <w:tc>
          <w:tcPr>
            <w:tcW w:w="1140" w:type="dxa"/>
            <w:vMerge w:val="restart"/>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2.4 药材来源质量 </w:t>
            </w:r>
            <w:r>
              <w:rPr>
                <w:rFonts w:hint="eastAsia" w:ascii="宋体" w:hAnsi="宋体" w:cs="宋体"/>
                <w:b/>
                <w:bCs/>
                <w:color w:val="000000"/>
                <w:kern w:val="0"/>
                <w:sz w:val="20"/>
                <w:szCs w:val="20"/>
                <w:lang w:bidi="ar"/>
              </w:rPr>
              <w:t>（6分）</w:t>
            </w:r>
          </w:p>
        </w:tc>
        <w:tc>
          <w:tcPr>
            <w:tcW w:w="5284"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投标人是否拥有自有或共建的中药材种植基地，并保证中药配方颗粒生产使用基地所产的中药材进行评定。有基地的得2分；没有基地的不得分。</w:t>
            </w:r>
          </w:p>
        </w:tc>
        <w:tc>
          <w:tcPr>
            <w:tcW w:w="230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投标人提供生产基地营业执照副本复印件及专属关系或合作合同、生产品种名称及承诺书等证明材料</w:t>
            </w:r>
          </w:p>
        </w:tc>
      </w:tr>
      <w:tr>
        <w:tblPrEx>
          <w:tblCellMar>
            <w:top w:w="0" w:type="dxa"/>
            <w:left w:w="108" w:type="dxa"/>
            <w:bottom w:w="0" w:type="dxa"/>
            <w:right w:w="108" w:type="dxa"/>
          </w:tblCellMar>
        </w:tblPrEx>
        <w:trPr>
          <w:trHeight w:val="1055" w:hRule="atLeast"/>
        </w:trPr>
        <w:tc>
          <w:tcPr>
            <w:tcW w:w="117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0"/>
                <w:szCs w:val="20"/>
              </w:rPr>
            </w:pPr>
          </w:p>
        </w:tc>
        <w:tc>
          <w:tcPr>
            <w:tcW w:w="1140" w:type="dxa"/>
            <w:vMerge w:val="continue"/>
            <w:tcBorders>
              <w:top w:val="nil"/>
              <w:left w:val="nil"/>
              <w:bottom w:val="single" w:color="000000" w:sz="8" w:space="0"/>
              <w:right w:val="single" w:color="000000" w:sz="8" w:space="0"/>
            </w:tcBorders>
            <w:shd w:val="clear" w:color="auto" w:fill="auto"/>
            <w:vAlign w:val="center"/>
          </w:tcPr>
          <w:p>
            <w:pPr>
              <w:jc w:val="left"/>
              <w:rPr>
                <w:rFonts w:ascii="宋体" w:hAnsi="宋体" w:cs="宋体"/>
                <w:color w:val="000000"/>
                <w:sz w:val="20"/>
                <w:szCs w:val="20"/>
              </w:rPr>
            </w:pPr>
          </w:p>
        </w:tc>
        <w:tc>
          <w:tcPr>
            <w:tcW w:w="5284"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投标人独立拥有完整中药饮片炮制方式及范围，如：净制、切制、炒制、炙制、蒸制、煮制、制炭等,每一项得0.5分，最高分为4分。需提供药品生产许可证及相关证明材料。</w:t>
            </w:r>
          </w:p>
        </w:tc>
        <w:tc>
          <w:tcPr>
            <w:tcW w:w="230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投标人提供药品生产许可证或其他相关证明文件</w:t>
            </w:r>
          </w:p>
        </w:tc>
      </w:tr>
      <w:tr>
        <w:tblPrEx>
          <w:tblCellMar>
            <w:top w:w="0" w:type="dxa"/>
            <w:left w:w="108" w:type="dxa"/>
            <w:bottom w:w="0" w:type="dxa"/>
            <w:right w:w="108" w:type="dxa"/>
          </w:tblCellMar>
        </w:tblPrEx>
        <w:trPr>
          <w:trHeight w:val="1315" w:hRule="atLeast"/>
        </w:trPr>
        <w:tc>
          <w:tcPr>
            <w:tcW w:w="117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0"/>
                <w:szCs w:val="20"/>
              </w:rPr>
            </w:pPr>
          </w:p>
        </w:tc>
        <w:tc>
          <w:tcPr>
            <w:tcW w:w="1140"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2.5 药品溯源管理 </w:t>
            </w:r>
            <w:r>
              <w:rPr>
                <w:rFonts w:hint="eastAsia" w:ascii="宋体" w:hAnsi="宋体" w:cs="宋体"/>
                <w:b/>
                <w:bCs/>
                <w:color w:val="000000"/>
                <w:kern w:val="0"/>
                <w:sz w:val="20"/>
                <w:szCs w:val="20"/>
                <w:lang w:bidi="ar"/>
              </w:rPr>
              <w:t>（4分）</w:t>
            </w:r>
          </w:p>
        </w:tc>
        <w:tc>
          <w:tcPr>
            <w:tcW w:w="5284"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投标人具备的配方颗粒及药材的产业链溯源管理能力。评委根据溯源管理合理、可靠及规范程度给予评价，合理、可靠性强且规范程度高的得2-4分，一般的得0-2分，不具备溯源能力的不得分。</w:t>
            </w:r>
          </w:p>
        </w:tc>
        <w:tc>
          <w:tcPr>
            <w:tcW w:w="230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投标人提供溯源管理系统各溯源环节页面截图以及相关药品实现溯源管理的证明材料</w:t>
            </w:r>
          </w:p>
        </w:tc>
      </w:tr>
      <w:tr>
        <w:tblPrEx>
          <w:tblCellMar>
            <w:top w:w="0" w:type="dxa"/>
            <w:left w:w="108" w:type="dxa"/>
            <w:bottom w:w="0" w:type="dxa"/>
            <w:right w:w="108" w:type="dxa"/>
          </w:tblCellMar>
        </w:tblPrEx>
        <w:trPr>
          <w:trHeight w:val="795" w:hRule="atLeast"/>
        </w:trPr>
        <w:tc>
          <w:tcPr>
            <w:tcW w:w="117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宋体" w:hAnsi="宋体" w:cs="宋体"/>
                <w:color w:val="000000"/>
                <w:sz w:val="20"/>
                <w:szCs w:val="20"/>
              </w:rPr>
            </w:pPr>
          </w:p>
        </w:tc>
        <w:tc>
          <w:tcPr>
            <w:tcW w:w="11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2.6 质量检测水平 </w:t>
            </w:r>
            <w:r>
              <w:rPr>
                <w:rFonts w:hint="eastAsia" w:ascii="宋体" w:hAnsi="宋体" w:cs="宋体"/>
                <w:b/>
                <w:bCs/>
                <w:color w:val="000000"/>
                <w:kern w:val="0"/>
                <w:sz w:val="20"/>
                <w:szCs w:val="20"/>
                <w:lang w:bidi="ar"/>
              </w:rPr>
              <w:t>（4分）</w:t>
            </w:r>
          </w:p>
        </w:tc>
        <w:tc>
          <w:tcPr>
            <w:tcW w:w="52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投标人可检项目包含二氧化硫、黄曲霉素、重金属限度、农药残留得4分，少一类检测扣1分。委托第三方检测的项目视为不具备该项检测能力。</w:t>
            </w:r>
          </w:p>
        </w:tc>
        <w:tc>
          <w:tcPr>
            <w:tcW w:w="23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饮片检测报告</w:t>
            </w:r>
          </w:p>
        </w:tc>
      </w:tr>
      <w:tr>
        <w:tblPrEx>
          <w:tblCellMar>
            <w:top w:w="0" w:type="dxa"/>
            <w:left w:w="108" w:type="dxa"/>
            <w:bottom w:w="0" w:type="dxa"/>
            <w:right w:w="108" w:type="dxa"/>
          </w:tblCellMar>
        </w:tblPrEx>
        <w:trPr>
          <w:trHeight w:val="2095" w:hRule="atLeast"/>
        </w:trPr>
        <w:tc>
          <w:tcPr>
            <w:tcW w:w="117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三.配送服务</w:t>
            </w:r>
          </w:p>
        </w:tc>
        <w:tc>
          <w:tcPr>
            <w:tcW w:w="11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3.1 品种供应保障 </w:t>
            </w:r>
            <w:r>
              <w:rPr>
                <w:rFonts w:hint="eastAsia" w:ascii="宋体" w:hAnsi="宋体" w:cs="宋体"/>
                <w:b/>
                <w:bCs/>
                <w:color w:val="000000"/>
                <w:kern w:val="0"/>
                <w:sz w:val="20"/>
                <w:szCs w:val="20"/>
                <w:lang w:bidi="ar"/>
              </w:rPr>
              <w:t>（6分）</w:t>
            </w:r>
          </w:p>
        </w:tc>
        <w:tc>
          <w:tcPr>
            <w:tcW w:w="5284"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在国家药品监督管理局完成的国家级标准、浙江省标准配方颗粒备案数量（指浙江省外企业完成的销往浙江省跨省备案及浙江省内企业完成的上市备案），260种及以上得6分，240种-259种得4.5分，220种-239种得3分，219种及以下得1.5分，未备案或未提供证明材料不得分。以上数值均含本数，相同品种不同规格不重复计数。</w:t>
            </w:r>
          </w:p>
        </w:tc>
        <w:tc>
          <w:tcPr>
            <w:tcW w:w="2300" w:type="dxa"/>
            <w:tcBorders>
              <w:top w:val="single" w:color="000000" w:sz="8" w:space="0"/>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lang w:bidi="ar"/>
              </w:rPr>
              <w:t>提供备案品种目录及对应备案号清单</w:t>
            </w:r>
          </w:p>
        </w:tc>
      </w:tr>
      <w:tr>
        <w:tblPrEx>
          <w:tblCellMar>
            <w:top w:w="0" w:type="dxa"/>
            <w:left w:w="108" w:type="dxa"/>
            <w:bottom w:w="0" w:type="dxa"/>
            <w:right w:w="108" w:type="dxa"/>
          </w:tblCellMar>
        </w:tblPrEx>
        <w:trPr>
          <w:trHeight w:val="2095" w:hRule="atLeast"/>
        </w:trPr>
        <w:tc>
          <w:tcPr>
            <w:tcW w:w="117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宋体" w:hAnsi="宋体" w:cs="宋体"/>
                <w:color w:val="000000"/>
                <w:sz w:val="20"/>
                <w:szCs w:val="20"/>
              </w:rPr>
            </w:pPr>
          </w:p>
        </w:tc>
        <w:tc>
          <w:tcPr>
            <w:tcW w:w="114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3.2 颗粒配方机组</w:t>
            </w:r>
            <w:r>
              <w:rPr>
                <w:rFonts w:hint="eastAsia" w:ascii="宋体" w:hAnsi="宋体" w:cs="宋体"/>
                <w:b/>
                <w:bCs/>
                <w:color w:val="000000"/>
                <w:kern w:val="0"/>
                <w:sz w:val="20"/>
                <w:szCs w:val="20"/>
                <w:lang w:bidi="ar"/>
              </w:rPr>
              <w:t>（7分）</w:t>
            </w:r>
          </w:p>
        </w:tc>
        <w:tc>
          <w:tcPr>
            <w:tcW w:w="5284"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向采购人提供与配方颗粒相适应的智能调配系统租赁服务,合同期间若有升级版设备应用（以浙江省内首家医院应用为准），承诺半年内更新设备。投标文件中需提供目前最新调配机图样照、型号及性能参数，并承诺根据采购人业务发展需要，提供与业务量相适应的配套仪器数量，包括后期增加仪器配置数量。递交符合采购人要求的承诺函得3分，未递交不得分。</w:t>
            </w:r>
          </w:p>
        </w:tc>
        <w:tc>
          <w:tcPr>
            <w:tcW w:w="230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投标人提供目前最新型调配机组图样照、型号及性能参数，并承诺在合同期间有升级版应予及时更新设备。</w:t>
            </w:r>
          </w:p>
        </w:tc>
      </w:tr>
      <w:tr>
        <w:tblPrEx>
          <w:tblCellMar>
            <w:top w:w="0" w:type="dxa"/>
            <w:left w:w="108" w:type="dxa"/>
            <w:bottom w:w="0" w:type="dxa"/>
            <w:right w:w="108" w:type="dxa"/>
          </w:tblCellMar>
        </w:tblPrEx>
        <w:trPr>
          <w:trHeight w:val="1055" w:hRule="atLeast"/>
        </w:trPr>
        <w:tc>
          <w:tcPr>
            <w:tcW w:w="117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宋体" w:hAnsi="宋体" w:cs="宋体"/>
                <w:color w:val="000000"/>
                <w:sz w:val="20"/>
                <w:szCs w:val="20"/>
              </w:rPr>
            </w:pPr>
          </w:p>
        </w:tc>
        <w:tc>
          <w:tcPr>
            <w:tcW w:w="11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宋体" w:hAnsi="宋体" w:cs="宋体"/>
                <w:color w:val="000000"/>
                <w:sz w:val="20"/>
                <w:szCs w:val="20"/>
              </w:rPr>
            </w:pPr>
          </w:p>
        </w:tc>
        <w:tc>
          <w:tcPr>
            <w:tcW w:w="5284"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承诺自合同签订起30日内完成设备安装、运行、维护的全过程。提供HIS接口相关技术与支持及智能中药房等信息化建设的得2分，否则不得分。</w:t>
            </w:r>
          </w:p>
        </w:tc>
        <w:tc>
          <w:tcPr>
            <w:tcW w:w="230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投标人提供承诺书</w:t>
            </w:r>
          </w:p>
        </w:tc>
      </w:tr>
      <w:tr>
        <w:tblPrEx>
          <w:tblCellMar>
            <w:top w:w="0" w:type="dxa"/>
            <w:left w:w="108" w:type="dxa"/>
            <w:bottom w:w="0" w:type="dxa"/>
            <w:right w:w="108" w:type="dxa"/>
          </w:tblCellMar>
        </w:tblPrEx>
        <w:trPr>
          <w:trHeight w:val="1055" w:hRule="atLeast"/>
        </w:trPr>
        <w:tc>
          <w:tcPr>
            <w:tcW w:w="117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宋体" w:hAnsi="宋体" w:cs="宋体"/>
                <w:color w:val="000000"/>
                <w:sz w:val="20"/>
                <w:szCs w:val="20"/>
              </w:rPr>
            </w:pPr>
          </w:p>
        </w:tc>
        <w:tc>
          <w:tcPr>
            <w:tcW w:w="1140"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宋体" w:hAnsi="宋体" w:cs="宋体"/>
                <w:color w:val="000000"/>
                <w:sz w:val="20"/>
                <w:szCs w:val="20"/>
              </w:rPr>
            </w:pPr>
          </w:p>
        </w:tc>
        <w:tc>
          <w:tcPr>
            <w:tcW w:w="5284"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承诺有保障设备正常运行的措施并提供及时的免费维护维修（响应时间在3小时内并包括零配件更换）及保证耗材正常需求的得2分，否则不得分。</w:t>
            </w:r>
          </w:p>
        </w:tc>
        <w:tc>
          <w:tcPr>
            <w:tcW w:w="230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投标人提供承诺书</w:t>
            </w:r>
          </w:p>
        </w:tc>
      </w:tr>
      <w:tr>
        <w:tblPrEx>
          <w:tblCellMar>
            <w:top w:w="0" w:type="dxa"/>
            <w:left w:w="108" w:type="dxa"/>
            <w:bottom w:w="0" w:type="dxa"/>
            <w:right w:w="108" w:type="dxa"/>
          </w:tblCellMar>
        </w:tblPrEx>
        <w:trPr>
          <w:trHeight w:val="1980" w:hRule="atLeast"/>
        </w:trPr>
        <w:tc>
          <w:tcPr>
            <w:tcW w:w="117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宋体" w:hAnsi="宋体" w:cs="宋体"/>
                <w:color w:val="000000"/>
                <w:sz w:val="20"/>
                <w:szCs w:val="20"/>
              </w:rPr>
            </w:pPr>
          </w:p>
        </w:tc>
        <w:tc>
          <w:tcPr>
            <w:tcW w:w="11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3.3综合服务及保障方案</w:t>
            </w:r>
          </w:p>
          <w:p>
            <w:pPr>
              <w:widowControl/>
              <w:jc w:val="left"/>
              <w:textAlignment w:val="center"/>
              <w:rPr>
                <w:rFonts w:ascii="宋体" w:hAnsi="宋体" w:cs="宋体"/>
                <w:color w:val="000000"/>
                <w:sz w:val="20"/>
                <w:szCs w:val="20"/>
              </w:rPr>
            </w:pPr>
            <w:r>
              <w:rPr>
                <w:rFonts w:hint="eastAsia" w:ascii="宋体" w:hAnsi="宋体" w:cs="宋体"/>
                <w:b/>
                <w:bCs/>
                <w:color w:val="000000"/>
                <w:kern w:val="0"/>
                <w:sz w:val="20"/>
                <w:szCs w:val="20"/>
                <w:lang w:bidi="ar"/>
              </w:rPr>
              <w:t>（6分）</w:t>
            </w:r>
          </w:p>
        </w:tc>
        <w:tc>
          <w:tcPr>
            <w:tcW w:w="5284"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根据投标人项目售后服务保障方案的合理性、可行性（包括但不限于供货方案、质量保障措施、配送及时性、运输保管方案、应急预案、配套服务人员资历等）进行综合评分，方案保障性及合理性强、详细度高得4-6分，保障性及合理性、详细度一般2-4分，保障性及合理性、详细度差得0-2分，未提供方案不得分。</w:t>
            </w:r>
          </w:p>
        </w:tc>
        <w:tc>
          <w:tcPr>
            <w:tcW w:w="230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提供方案</w:t>
            </w:r>
          </w:p>
        </w:tc>
      </w:tr>
      <w:tr>
        <w:tblPrEx>
          <w:tblCellMar>
            <w:top w:w="0" w:type="dxa"/>
            <w:left w:w="108" w:type="dxa"/>
            <w:bottom w:w="0" w:type="dxa"/>
            <w:right w:w="108" w:type="dxa"/>
          </w:tblCellMar>
        </w:tblPrEx>
        <w:trPr>
          <w:trHeight w:val="795" w:hRule="atLeast"/>
        </w:trPr>
        <w:tc>
          <w:tcPr>
            <w:tcW w:w="117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宋体" w:hAnsi="宋体" w:cs="宋体"/>
                <w:color w:val="000000"/>
                <w:sz w:val="20"/>
                <w:szCs w:val="20"/>
              </w:rPr>
            </w:pPr>
          </w:p>
        </w:tc>
        <w:tc>
          <w:tcPr>
            <w:tcW w:w="11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3.4 市场占有情况 </w:t>
            </w:r>
            <w:r>
              <w:rPr>
                <w:rFonts w:hint="eastAsia" w:ascii="宋体" w:hAnsi="宋体" w:cs="宋体"/>
                <w:b/>
                <w:bCs/>
                <w:color w:val="000000"/>
                <w:kern w:val="0"/>
                <w:sz w:val="20"/>
                <w:szCs w:val="20"/>
                <w:lang w:bidi="ar"/>
              </w:rPr>
              <w:t>（3分）</w:t>
            </w:r>
          </w:p>
        </w:tc>
        <w:tc>
          <w:tcPr>
            <w:tcW w:w="5284"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截至投标截止日签约并已经开展业务的三级医疗机构数量，每家0.2分，最高不超过3分。</w:t>
            </w:r>
          </w:p>
        </w:tc>
        <w:tc>
          <w:tcPr>
            <w:tcW w:w="230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递交截至投标截止之日有效销售合同或协议，同时附截止日期近3个月销售证明材料。</w:t>
            </w:r>
          </w:p>
        </w:tc>
      </w:tr>
      <w:tr>
        <w:tblPrEx>
          <w:tblCellMar>
            <w:top w:w="0" w:type="dxa"/>
            <w:left w:w="108" w:type="dxa"/>
            <w:bottom w:w="0" w:type="dxa"/>
            <w:right w:w="108" w:type="dxa"/>
          </w:tblCellMar>
        </w:tblPrEx>
        <w:trPr>
          <w:trHeight w:val="795" w:hRule="atLeast"/>
        </w:trPr>
        <w:tc>
          <w:tcPr>
            <w:tcW w:w="117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宋体" w:hAnsi="宋体" w:cs="宋体"/>
                <w:color w:val="000000"/>
                <w:sz w:val="20"/>
                <w:szCs w:val="20"/>
              </w:rPr>
            </w:pPr>
          </w:p>
        </w:tc>
        <w:tc>
          <w:tcPr>
            <w:tcW w:w="11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3.5 配送速度承诺 </w:t>
            </w:r>
            <w:r>
              <w:rPr>
                <w:rFonts w:hint="eastAsia" w:ascii="宋体" w:hAnsi="宋体" w:cs="宋体"/>
                <w:b/>
                <w:bCs/>
                <w:color w:val="000000"/>
                <w:kern w:val="0"/>
                <w:sz w:val="20"/>
                <w:szCs w:val="20"/>
                <w:lang w:bidi="ar"/>
              </w:rPr>
              <w:t>（2分）</w:t>
            </w:r>
          </w:p>
        </w:tc>
        <w:tc>
          <w:tcPr>
            <w:tcW w:w="5284"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满足在48小时内配送到位，紧急用药需要时在4小时内送达并承诺延时处罚的得2分；仅承诺1项时间的得1分；否则不得分。</w:t>
            </w:r>
          </w:p>
        </w:tc>
        <w:tc>
          <w:tcPr>
            <w:tcW w:w="230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投标人提供承诺书</w:t>
            </w:r>
          </w:p>
        </w:tc>
      </w:tr>
      <w:tr>
        <w:tblPrEx>
          <w:tblCellMar>
            <w:top w:w="0" w:type="dxa"/>
            <w:left w:w="108" w:type="dxa"/>
            <w:bottom w:w="0" w:type="dxa"/>
            <w:right w:w="108" w:type="dxa"/>
          </w:tblCellMar>
        </w:tblPrEx>
        <w:trPr>
          <w:trHeight w:val="795" w:hRule="atLeast"/>
        </w:trPr>
        <w:tc>
          <w:tcPr>
            <w:tcW w:w="117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宋体" w:hAnsi="宋体" w:cs="宋体"/>
                <w:color w:val="000000"/>
                <w:sz w:val="20"/>
                <w:szCs w:val="20"/>
              </w:rPr>
            </w:pPr>
          </w:p>
        </w:tc>
        <w:tc>
          <w:tcPr>
            <w:tcW w:w="11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3.6 质量效期承诺 </w:t>
            </w:r>
            <w:r>
              <w:rPr>
                <w:rFonts w:hint="eastAsia" w:ascii="宋体" w:hAnsi="宋体" w:cs="宋体"/>
                <w:b/>
                <w:bCs/>
                <w:color w:val="000000"/>
                <w:kern w:val="0"/>
                <w:sz w:val="20"/>
                <w:szCs w:val="20"/>
                <w:lang w:bidi="ar"/>
              </w:rPr>
              <w:t>（2分）</w:t>
            </w:r>
          </w:p>
        </w:tc>
        <w:tc>
          <w:tcPr>
            <w:tcW w:w="5284"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保证所供药品的入库剩余有效期不少于</w:t>
            </w:r>
            <w:r>
              <w:rPr>
                <w:rFonts w:hint="eastAsia" w:ascii="宋体" w:hAnsi="宋体" w:cs="宋体"/>
                <w:b/>
                <w:bCs/>
                <w:color w:val="000000"/>
                <w:kern w:val="0"/>
                <w:sz w:val="20"/>
                <w:szCs w:val="20"/>
                <w:lang w:bidi="ar"/>
              </w:rPr>
              <w:t>1.5</w:t>
            </w:r>
            <w:r>
              <w:rPr>
                <w:rFonts w:hint="eastAsia" w:ascii="宋体" w:hAnsi="宋体" w:cs="宋体"/>
                <w:color w:val="000000"/>
                <w:kern w:val="0"/>
                <w:sz w:val="20"/>
                <w:szCs w:val="20"/>
                <w:lang w:bidi="ar"/>
              </w:rPr>
              <w:t>年的得2分，否则不得分，涉及企业标准品种等特殊情况除外。</w:t>
            </w:r>
          </w:p>
        </w:tc>
        <w:tc>
          <w:tcPr>
            <w:tcW w:w="230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投标人提供承诺书</w:t>
            </w:r>
          </w:p>
        </w:tc>
      </w:tr>
      <w:tr>
        <w:tblPrEx>
          <w:tblCellMar>
            <w:top w:w="0" w:type="dxa"/>
            <w:left w:w="108" w:type="dxa"/>
            <w:bottom w:w="0" w:type="dxa"/>
            <w:right w:w="108" w:type="dxa"/>
          </w:tblCellMar>
        </w:tblPrEx>
        <w:trPr>
          <w:trHeight w:val="795" w:hRule="atLeast"/>
        </w:trPr>
        <w:tc>
          <w:tcPr>
            <w:tcW w:w="117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宋体" w:hAnsi="宋体" w:cs="宋体"/>
                <w:color w:val="000000"/>
                <w:sz w:val="20"/>
                <w:szCs w:val="20"/>
              </w:rPr>
            </w:pPr>
          </w:p>
        </w:tc>
        <w:tc>
          <w:tcPr>
            <w:tcW w:w="11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3.7 退换货承诺  </w:t>
            </w:r>
            <w:r>
              <w:rPr>
                <w:rFonts w:hint="eastAsia" w:ascii="宋体" w:hAnsi="宋体" w:cs="宋体"/>
                <w:b/>
                <w:bCs/>
                <w:color w:val="000000"/>
                <w:kern w:val="0"/>
                <w:sz w:val="20"/>
                <w:szCs w:val="20"/>
                <w:lang w:bidi="ar"/>
              </w:rPr>
              <w:t>（2分）</w:t>
            </w:r>
          </w:p>
        </w:tc>
        <w:tc>
          <w:tcPr>
            <w:tcW w:w="5284"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无条件退换货的得2分，否则不得分。</w:t>
            </w:r>
          </w:p>
        </w:tc>
        <w:tc>
          <w:tcPr>
            <w:tcW w:w="2300"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投标人提供承诺书</w:t>
            </w:r>
          </w:p>
        </w:tc>
      </w:tr>
      <w:tr>
        <w:tblPrEx>
          <w:tblCellMar>
            <w:top w:w="0" w:type="dxa"/>
            <w:left w:w="108" w:type="dxa"/>
            <w:bottom w:w="0" w:type="dxa"/>
            <w:right w:w="108" w:type="dxa"/>
          </w:tblCellMar>
        </w:tblPrEx>
        <w:trPr>
          <w:trHeight w:val="1575" w:hRule="atLeast"/>
        </w:trPr>
        <w:tc>
          <w:tcPr>
            <w:tcW w:w="117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宋体" w:hAnsi="宋体" w:cs="宋体"/>
                <w:color w:val="000000"/>
                <w:sz w:val="20"/>
                <w:szCs w:val="20"/>
              </w:rPr>
            </w:pPr>
          </w:p>
        </w:tc>
        <w:tc>
          <w:tcPr>
            <w:tcW w:w="11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3.8 投诉响应及处理</w:t>
            </w:r>
            <w:r>
              <w:rPr>
                <w:rFonts w:hint="eastAsia" w:ascii="宋体" w:hAnsi="宋体" w:cs="宋体"/>
                <w:b/>
                <w:bCs/>
                <w:color w:val="000000"/>
                <w:kern w:val="0"/>
                <w:sz w:val="20"/>
                <w:szCs w:val="20"/>
                <w:lang w:bidi="ar"/>
              </w:rPr>
              <w:t>（2分）</w:t>
            </w:r>
          </w:p>
        </w:tc>
        <w:tc>
          <w:tcPr>
            <w:tcW w:w="52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根据投诉响应及处理的承诺情况进行评价，响应及处理承诺方案及时性与合理性能完全符合招标人要求得1-2分，及时性与合理性不能完全符合要求但仍能维持项目开展得0-1分，及时性与合理性影响项目开展的不得分。未提供承诺方案不得分。</w:t>
            </w:r>
          </w:p>
        </w:tc>
        <w:tc>
          <w:tcPr>
            <w:tcW w:w="23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投标人提供处理方案及承诺书</w:t>
            </w:r>
          </w:p>
        </w:tc>
      </w:tr>
      <w:tr>
        <w:tblPrEx>
          <w:tblCellMar>
            <w:top w:w="0" w:type="dxa"/>
            <w:left w:w="108" w:type="dxa"/>
            <w:bottom w:w="0" w:type="dxa"/>
            <w:right w:w="108" w:type="dxa"/>
          </w:tblCellMar>
        </w:tblPrEx>
        <w:trPr>
          <w:trHeight w:val="4880" w:hRule="atLeast"/>
        </w:trPr>
        <w:tc>
          <w:tcPr>
            <w:tcW w:w="117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四.供货价格</w:t>
            </w:r>
            <w:r>
              <w:rPr>
                <w:rFonts w:hint="eastAsia" w:ascii="宋体" w:hAnsi="宋体" w:cs="宋体"/>
                <w:b/>
                <w:bCs/>
                <w:color w:val="000000"/>
                <w:kern w:val="0"/>
                <w:sz w:val="20"/>
                <w:szCs w:val="20"/>
                <w:lang w:bidi="ar"/>
              </w:rPr>
              <w:t>（30分</w:t>
            </w:r>
            <w:r>
              <w:rPr>
                <w:rFonts w:hint="eastAsia" w:ascii="宋体" w:hAnsi="宋体" w:cs="宋体"/>
                <w:color w:val="000000"/>
                <w:kern w:val="0"/>
                <w:sz w:val="20"/>
                <w:szCs w:val="20"/>
                <w:lang w:bidi="ar"/>
              </w:rPr>
              <w:t>）</w:t>
            </w:r>
          </w:p>
        </w:tc>
        <w:tc>
          <w:tcPr>
            <w:tcW w:w="114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4.1 投标报价</w:t>
            </w:r>
            <w:r>
              <w:rPr>
                <w:rFonts w:hint="eastAsia" w:ascii="宋体" w:hAnsi="宋体" w:cs="宋体"/>
                <w:b/>
                <w:bCs/>
                <w:color w:val="000000"/>
                <w:kern w:val="0"/>
                <w:sz w:val="20"/>
                <w:szCs w:val="20"/>
                <w:lang w:bidi="ar"/>
              </w:rPr>
              <w:t>（30分）</w:t>
            </w:r>
          </w:p>
        </w:tc>
        <w:tc>
          <w:tcPr>
            <w:tcW w:w="5284" w:type="dxa"/>
            <w:tcBorders>
              <w:top w:val="nil"/>
              <w:left w:val="nil"/>
              <w:bottom w:val="single" w:color="000000" w:sz="8" w:space="0"/>
              <w:right w:val="single" w:color="000000" w:sz="8" w:space="0"/>
            </w:tcBorders>
            <w:shd w:val="clear" w:color="auto" w:fill="auto"/>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参照绍兴市医药行业协会发布的每克配方颗粒最高零售价为基础，按统一扣率报价且不得超出80%。</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a、评审基准价的计算：</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（1）有效供应商数量＞5家时，去掉有效报价中最高和最低报价后，取其余有效供应商报价的算术平均值为评审基准价；</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（2）有效供应商≤5家时，取所有有效供应商报价的算术平均值为评审基准价。</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b、各供应商的报价与评审基准价对比，计算价格得分值：</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报价等于评审基准价，得满分30分；</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报价每高于评审基准价1%，扣0.2分；即价格分=30-（（投标报价-评审基准价）/评审基准价）*0.2</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报价每低于评审基准价1%，扣0.2分。即价格分=30-（（评审基准价-投标报价）/评审基准价）*0.2</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计算价格评分不足一个百分点时，使用直线插入法计算（得分保留两位小数）。</w:t>
            </w:r>
          </w:p>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此项由评审委员会集体核实后统一打分。</w:t>
            </w:r>
          </w:p>
          <w:p>
            <w:pPr>
              <w:widowControl/>
              <w:jc w:val="left"/>
              <w:textAlignment w:val="center"/>
              <w:rPr>
                <w:rFonts w:ascii="宋体" w:hAnsi="宋体" w:cs="宋体"/>
                <w:color w:val="000000"/>
                <w:sz w:val="20"/>
                <w:szCs w:val="20"/>
              </w:rPr>
            </w:pPr>
          </w:p>
        </w:tc>
        <w:tc>
          <w:tcPr>
            <w:tcW w:w="23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报价文件</w:t>
            </w:r>
          </w:p>
        </w:tc>
      </w:tr>
    </w:tbl>
    <w:p>
      <w:pPr>
        <w:rPr>
          <w:rFonts w:ascii="仿宋_GB2312" w:hAnsi="宋体" w:eastAsia="仿宋_GB2312"/>
          <w:b/>
          <w:kern w:val="0"/>
          <w:sz w:val="24"/>
        </w:rPr>
      </w:pPr>
    </w:p>
    <w:p>
      <w:pPr>
        <w:ind w:firstLine="482" w:firstLineChars="200"/>
        <w:rPr>
          <w:rFonts w:ascii="仿宋_GB2312" w:hAnsi="宋体" w:eastAsia="仿宋_GB2312"/>
          <w:b/>
          <w:kern w:val="0"/>
          <w:sz w:val="24"/>
        </w:rPr>
      </w:pPr>
    </w:p>
    <w:p>
      <w:pPr>
        <w:spacing w:line="360" w:lineRule="auto"/>
        <w:ind w:firstLine="482" w:firstLineChars="200"/>
        <w:rPr>
          <w:rFonts w:ascii="仿宋_GB2312" w:hAnsi="宋体" w:eastAsia="仿宋_GB2312"/>
          <w:b/>
          <w:kern w:val="0"/>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投标人的综合得分为以上技术标得分及报价得分之和。</w:t>
      </w:r>
    </w:p>
    <w:p>
      <w:pPr>
        <w:widowControl/>
        <w:rPr>
          <w:rFonts w:ascii="宋体" w:hAnsi="宋体" w:cs="宋体"/>
          <w:b/>
          <w:bCs/>
          <w:kern w:val="0"/>
          <w:sz w:val="22"/>
        </w:rPr>
      </w:pPr>
      <w:r>
        <w:rPr>
          <w:rFonts w:hint="eastAsia" w:ascii="宋体" w:hAnsi="宋体" w:cs="宋体"/>
          <w:b/>
          <w:bCs/>
          <w:kern w:val="0"/>
          <w:sz w:val="22"/>
        </w:rPr>
        <w:t>说明：</w:t>
      </w:r>
    </w:p>
    <w:p>
      <w:pPr>
        <w:pStyle w:val="9"/>
        <w:ind w:firstLine="480"/>
        <w:rPr>
          <w:rFonts w:hAnsi="宋体"/>
          <w:kern w:val="0"/>
        </w:rPr>
      </w:pPr>
      <w:r>
        <w:rPr>
          <w:rFonts w:hint="eastAsia" w:hAnsi="宋体"/>
          <w:kern w:val="0"/>
        </w:rPr>
        <w:t>中标人由于中药配方颗粒品种标准颁布不全等现行政策原因导致无法满足招标人用药需求的，招标人有权针对中标人无法满足的药品（指无法满足国家、浙江省颁布标准目录的药品），额外补充一名供应商进行签约。</w:t>
      </w:r>
    </w:p>
    <w:p>
      <w:pPr>
        <w:pStyle w:val="9"/>
        <w:ind w:firstLine="480"/>
        <w:rPr>
          <w:rFonts w:hAnsi="宋体"/>
          <w:kern w:val="0"/>
        </w:rPr>
      </w:pPr>
      <w:r>
        <w:rPr>
          <w:rFonts w:hint="eastAsia" w:hAnsi="宋体"/>
          <w:kern w:val="0"/>
        </w:rPr>
        <w:t>招标人将邀请除中标人以外的其余投标供应商，并要求递交相关符合标准补充品种的生产及销售证明材料，按照补充签约供应商应能较大程度补足缺失药品的原则选择补充供应商，可补充品种数相同的，按照评标得分优先。</w:t>
      </w:r>
    </w:p>
    <w:p>
      <w:pPr>
        <w:pStyle w:val="9"/>
        <w:ind w:firstLine="480"/>
        <w:rPr>
          <w:color w:val="FF0000"/>
        </w:rPr>
      </w:pPr>
      <w:r>
        <w:rPr>
          <w:rFonts w:hint="eastAsia" w:hAnsi="宋体"/>
          <w:kern w:val="0"/>
        </w:rPr>
        <w:t>待药品颁布标准且中标人完成中药配方颗粒备案工作并能保证供应后，停止补充签约供应商相关药品的供应资格。</w:t>
      </w:r>
    </w:p>
    <w:p>
      <w:pPr>
        <w:spacing w:line="360" w:lineRule="auto"/>
        <w:ind w:firstLine="480" w:firstLineChars="200"/>
        <w:rPr>
          <w:rFonts w:ascii="仿宋_GB2312" w:hAnsi="宋体" w:eastAsia="仿宋_GB2312"/>
          <w:sz w:val="24"/>
        </w:rPr>
      </w:pPr>
    </w:p>
    <w:p>
      <w:pPr>
        <w:pStyle w:val="2"/>
        <w:jc w:val="center"/>
        <w:rPr>
          <w:sz w:val="32"/>
          <w:szCs w:val="32"/>
        </w:rPr>
      </w:pPr>
      <w:r>
        <w:rPr>
          <w:rFonts w:hint="eastAsia"/>
          <w:sz w:val="32"/>
          <w:szCs w:val="32"/>
        </w:rPr>
        <w:t>第五部分  招标项目范围及要求</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▲1、投标人除满足本次采购文件所述的资质要求外，还应在投标文件中承诺以下服务条款：</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（1）必须保证所供应的中药配方颗粒是符合国家药监局综合司《关于中药配方颗粒备案工作有关事项的通知》、</w:t>
      </w:r>
      <w:r>
        <w:rPr>
          <w:rFonts w:hint="eastAsia" w:ascii="仿宋_GB2312" w:hAnsi="宋体" w:eastAsia="仿宋_GB2312"/>
          <w:kern w:val="0"/>
          <w:sz w:val="24"/>
        </w:rPr>
        <w:t>《浙江省中药配方颗粒管理细则》等文件与通知规定的</w:t>
      </w:r>
      <w:r>
        <w:rPr>
          <w:rFonts w:hint="eastAsia" w:ascii="仿宋_GB2312" w:hAnsi="宋体" w:eastAsia="仿宋_GB2312"/>
          <w:bCs/>
          <w:iCs/>
          <w:sz w:val="24"/>
        </w:rPr>
        <w:t>合法、合格药品，保证所供应的中药配方颗粒到货入库的剩余有效期不少于1年（特殊药品除外），且保证有效期内的中药配方颗粒的质量。</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2）医院仅负责提供相关场地及日常水电，中标人应无偿提供与医院使用规模相适应的、与中药配方颗粒相配套的调剂设备（包含设备的保养和维修，并保证提供最新型号设备且承诺若有升级版设备应用半年内更新，至少以不低于浙江省内首家医院应用为准）以及符合上岗要求的专业技术人员等配套服务。投标文件中需提供目前最新调配机图样装机型号。全部机组设备等相关工作在合同签订后30天内处理完毕，保证医院业务顺利开展且以不影响正常业务开展为前提。</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（3）中标人应负责调配系统、温湿度控制系统的维护、维修和保养，如发生故障，应在24小时内修复，否则应提供备用机，并且24小时内将药品送达病人指定地址，由此产生的费用由履约方承担。</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（4）中标人必须遵循采购人有关保证智能中药房规范运行的工作流程和保证智能中药房规范运行的管理制度，并签署相关廉洁协议。</w:t>
      </w:r>
    </w:p>
    <w:p>
      <w:pPr>
        <w:pStyle w:val="9"/>
        <w:ind w:firstLine="480" w:firstLineChars="200"/>
      </w:pPr>
      <w:r>
        <w:rPr>
          <w:rFonts w:hint="eastAsia" w:hAnsi="宋体"/>
          <w:bCs/>
          <w:iCs/>
        </w:rPr>
        <w:t>（5）中标人向采购方提供规模相适应的、与中药配方颗粒相配套的调剂设备租赁服务，采购方向中标人支付租赁费用，本次相关设备租赁费用为1000元/年。</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6）中药配方颗粒零售价按国家相关政策执行。国家或浙江省药监部门制定发布统一标准后，中标人按照相关要求供应统一标准的中药配方颗粒，按照相同成交扣率参照绍兴最高零售价执行。合同期内，绍兴最高零售价发生调整的，由采购人根据实际情况确定是否按照成交扣率进行同步调价。合同期内，如遇浙江省级或温州地区政府部门发布中药配方颗粒最高零售价等指导价格的，双方视实际情况协商处理。中标人有义务将每期绍兴市医药行业协会关于中药配方颗粒相关价格信息单同步转达招标人。</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（7）中标人提供其经营配方颗粒基本目录，并保证此目录内的配方颗粒在采购周期内可持续供货。</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 xml:space="preserve">（8）中标人药品质量合格率100%，当出现缺货情况，必须提前与采购科室报备，原则上缺货品种在5个工作日内补齐。 </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（9）中标人须承担的运输、退换（距药品有效期6个月的或破损的药品）等费用。</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（10）中标人供应的药品应能接受医院方的临时抽检，检验样品由双方现场包装签字，送有资质的相关部门检测，检测相关费用由中标人承担。</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11）中标人与医院签订“质量保证协议书”，并向医院提供每一批中药配方颗粒的质检报告。中标人不得以任何借口（如无货，采购量少等）不执行医院药品采购计划。中标人必须提供每批次配方颗粒的质量检测报告，且报告单与实物批号完全对应。验收核对无误后进行入库验收。若验收不合格，供应商必须更换货物，并且赔偿由此给医院造成的损失；入库记录为入库验收的唯一有效凭证，入库验收时间以入库记录时间为准。</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12）中标人生产企业有严格的内控药品标准（包括原料、各单元工艺环节物料、中药配方颗粒成品检验标准及过程控制指标），明确生产全过程质量控制的措施、关键质控点及相关质量要求，使作为初始原料的中药材、作为提取用原料的饮片、作为制剂用原料的中间体和作为终产品的成品符合相关部门规定，保证中药配方颗粒的质量。合同执行过程中，如遇政策性变化应从其规定。</w:t>
      </w:r>
    </w:p>
    <w:p>
      <w:pPr>
        <w:pStyle w:val="9"/>
        <w:ind w:firstLine="480"/>
        <w:rPr>
          <w:rFonts w:hAnsi="宋体"/>
          <w:bCs/>
          <w:iCs/>
        </w:rPr>
      </w:pPr>
      <w:r>
        <w:rPr>
          <w:rFonts w:hint="eastAsia" w:hAnsi="宋体"/>
          <w:bCs/>
          <w:iCs/>
        </w:rPr>
        <w:t>（13）中标人提供的服务中应包含提供药品包装材料等完成药品发放所必需的相关配套耗材，并确保此类耗材的质量符合相关质量要求规定。</w:t>
      </w:r>
    </w:p>
    <w:p>
      <w:pPr>
        <w:pStyle w:val="9"/>
        <w:ind w:firstLine="480"/>
        <w:rPr>
          <w:rFonts w:hAnsi="宋体"/>
          <w:bCs/>
          <w:iCs/>
        </w:rPr>
      </w:pPr>
      <w:r>
        <w:rPr>
          <w:rFonts w:hint="eastAsia" w:hAnsi="宋体"/>
          <w:bCs/>
          <w:iCs/>
        </w:rPr>
        <w:t>（14）中标人提供符合国标和省标配方颗粒实际需求的终端分包装服务且满足正常业务需求。调配机应接入医院的HIS系统，接口费由中标人负责。提供中药颗粒处方审核系统。</w:t>
      </w:r>
    </w:p>
    <w:p>
      <w:pPr>
        <w:pStyle w:val="9"/>
        <w:ind w:firstLine="480"/>
        <w:rPr>
          <w:rFonts w:hAnsi="宋体"/>
          <w:bCs/>
          <w:iCs/>
        </w:rPr>
      </w:pPr>
      <w:r>
        <w:rPr>
          <w:rFonts w:hint="eastAsia" w:hAnsi="宋体"/>
          <w:bCs/>
          <w:iCs/>
        </w:rPr>
        <w:t>（15）协助招标人完成中药配方颗粒溯源信息与“瓯越云中医”系统的信息对接。</w:t>
      </w:r>
    </w:p>
    <w:p>
      <w:pPr>
        <w:pStyle w:val="9"/>
        <w:ind w:firstLine="480"/>
        <w:rPr>
          <w:rFonts w:hAnsi="宋体"/>
          <w:bCs/>
          <w:iCs/>
          <w:highlight w:val="yellow"/>
        </w:rPr>
      </w:pP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▲2、其他要求</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（1）供需双方在药品购销过程中严格执行《药品管理法》《医疗机构药事管理规定》和《处方管理办法》等法律法规的有关规定，诚信经营。</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2）中标人在保证药品质量以及符合国家、浙江省发布的相关中药配方颗粒通知文件前提下按约定的药品品种、剂型、规格、数量、价格、供货方式等供货，保证临床用药。后续新增品种供应价按照相同成交扣率参照绍兴最高零售价执行。</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（3）医院将根据签约承诺内容对签约方进行考核，违约将报医院监察室备案并告知供货商，两次违约将终止合同，可选择由综合得分排名第二的供应商替补或重新组织采购。</w:t>
      </w: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（4）经确认为药品质量原因或工作人员疏忽等人为因素造成医疗机构损失的，其损失（包括由此造成的其它损失）一律由供方承担。</w:t>
      </w:r>
    </w:p>
    <w:p>
      <w:pPr>
        <w:pStyle w:val="9"/>
        <w:ind w:firstLine="480"/>
        <w:rPr>
          <w:rFonts w:hAnsi="宋体"/>
          <w:bCs/>
          <w:iCs/>
        </w:rPr>
      </w:pPr>
      <w:r>
        <w:rPr>
          <w:rFonts w:hint="eastAsia" w:hAnsi="宋体"/>
          <w:bCs/>
          <w:iCs/>
        </w:rPr>
        <w:t>（5）所参照地市建议零售价未同步新颁布品种价格的，原则上以不高于周边同等级医疗机构供应价进行采购。</w:t>
      </w:r>
    </w:p>
    <w:p>
      <w:pPr>
        <w:pStyle w:val="22"/>
      </w:pPr>
    </w:p>
    <w:p>
      <w:pPr>
        <w:pStyle w:val="19"/>
        <w:ind w:firstLine="480" w:firstLineChars="200"/>
        <w:jc w:val="left"/>
        <w:rPr>
          <w:rFonts w:ascii="仿宋_GB2312" w:hAnsi="宋体" w:eastAsia="仿宋_GB2312"/>
          <w:b w:val="0"/>
          <w:iCs/>
          <w:kern w:val="2"/>
          <w:sz w:val="24"/>
          <w:szCs w:val="24"/>
        </w:rPr>
      </w:pPr>
      <w:r>
        <w:rPr>
          <w:rFonts w:hint="eastAsia" w:ascii="仿宋_GB2312" w:hAnsi="宋体" w:eastAsia="仿宋_GB2312"/>
          <w:b w:val="0"/>
          <w:iCs/>
          <w:kern w:val="2"/>
          <w:sz w:val="24"/>
          <w:szCs w:val="24"/>
        </w:rPr>
        <w:t>二、用药范围</w:t>
      </w:r>
    </w:p>
    <w:p>
      <w:pPr>
        <w:jc w:val="center"/>
        <w:rPr>
          <w:rFonts w:ascii="宋体" w:hAnsi="宋体" w:cs="宋体"/>
          <w:b/>
          <w:bCs/>
          <w:kern w:val="0"/>
          <w:sz w:val="24"/>
        </w:rPr>
      </w:pPr>
      <w:r>
        <w:rPr>
          <w:rFonts w:hint="eastAsia" w:ascii="宋体" w:hAnsi="宋体" w:cs="宋体"/>
          <w:b/>
          <w:bCs/>
          <w:kern w:val="0"/>
          <w:sz w:val="24"/>
        </w:rPr>
        <w:t>平阳县人民医院中药配方颗粒用药目录需求</w:t>
      </w:r>
    </w:p>
    <w:p>
      <w:pPr>
        <w:jc w:val="center"/>
        <w:rPr>
          <w:rFonts w:ascii="宋体" w:hAnsi="宋体" w:cs="宋体"/>
          <w:b/>
          <w:bCs/>
          <w:color w:val="0000FF"/>
          <w:kern w:val="0"/>
          <w:sz w:val="24"/>
        </w:rPr>
      </w:pPr>
    </w:p>
    <w:p>
      <w:pPr>
        <w:spacing w:line="360" w:lineRule="auto"/>
        <w:ind w:firstLine="477" w:firstLineChars="199"/>
        <w:rPr>
          <w:rFonts w:ascii="仿宋_GB2312" w:hAnsi="宋体" w:eastAsia="仿宋_GB2312"/>
          <w:bCs/>
          <w:iCs/>
          <w:sz w:val="24"/>
        </w:rPr>
      </w:pPr>
      <w:r>
        <w:rPr>
          <w:rFonts w:hint="eastAsia" w:ascii="仿宋_GB2312" w:hAnsi="宋体" w:eastAsia="仿宋_GB2312"/>
          <w:bCs/>
          <w:iCs/>
          <w:sz w:val="24"/>
        </w:rPr>
        <w:t>以国家及浙江省药监部门公布的统一标准品种为主，适当结合招标人用药需求及中标人实际情况补充一定企业标准品种。</w:t>
      </w:r>
    </w:p>
    <w:p/>
    <w:tbl>
      <w:tblPr>
        <w:tblStyle w:val="26"/>
        <w:tblW w:w="8390" w:type="dxa"/>
        <w:tblInd w:w="98" w:type="dxa"/>
        <w:tblLayout w:type="autofit"/>
        <w:tblCellMar>
          <w:top w:w="0" w:type="dxa"/>
          <w:left w:w="108" w:type="dxa"/>
          <w:bottom w:w="0" w:type="dxa"/>
          <w:right w:w="108" w:type="dxa"/>
        </w:tblCellMar>
      </w:tblPr>
      <w:tblGrid>
        <w:gridCol w:w="990"/>
        <w:gridCol w:w="3160"/>
        <w:gridCol w:w="1080"/>
        <w:gridCol w:w="3160"/>
      </w:tblGrid>
      <w:tr>
        <w:tblPrEx>
          <w:tblCellMar>
            <w:top w:w="0" w:type="dxa"/>
            <w:left w:w="108" w:type="dxa"/>
            <w:bottom w:w="0" w:type="dxa"/>
            <w:right w:w="108" w:type="dxa"/>
          </w:tblCellMar>
        </w:tblPrEx>
        <w:trPr>
          <w:trHeight w:val="645"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序号</w:t>
            </w:r>
          </w:p>
        </w:tc>
        <w:tc>
          <w:tcPr>
            <w:tcW w:w="3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配方颗粒药品名</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序号</w:t>
            </w:r>
          </w:p>
        </w:tc>
        <w:tc>
          <w:tcPr>
            <w:tcW w:w="3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配方颗粒药品名</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阿胶（颗粒）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决明子（钝叶决明/颗粒）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艾叶（颗粒）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苦参（颗粒）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巴戟天（颗粒）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昆布（小包颗粒）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菝葜（颗粒）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连翘（青翘/颗粒）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白花蛇舌草（颗粒）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莲须（颗粒）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白茅根(颗粒）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灵芝（颗粒）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白前（柳叶白前/颗粒）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龙齿（颗粒）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白芍（颗粒）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龙胆(龙胆/颗粒)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白术（颗粒）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龙骨(颗粒）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白薇（白薇/颗粒）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龙眼肉（颗粒）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白鲜皮（颗粒）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芦根（颗粒）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白芷（白芷/颗粒）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鹿角胶（颗粒）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百部（对叶百部/颗粒）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鹿角霜（颗粒）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百合（卷丹/颗粒）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路路通（颗粒）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柏子仁（颗粒）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罗汉果（颗粒）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板蓝根（颗粒）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麻黄（草麻黄/颗粒）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半枝莲（颗粒）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麻黄根（草麻黄/颗粒）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薄荷（颗粒）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马齿苋（颗粒）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北柴胡（颗粒）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麦冬（川麦冬/颗粒）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北沙参(颗粒）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麦芽（颗粒）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萹蓄（颗粒）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玫瑰花（颗粒）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槟榔（颗粒）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梅花（颗粒）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蚕沙（颗粒）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蜜款冬花（颗粒）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侧柏炭（颗粒）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蜜麻黄（草麻黄/颗粒）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蝉蜕（颗粒）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蜜枇杷叶（颗粒）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炒白扁豆(颗粒）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蜜远志（颗粒）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炒白芍（颗粒）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蜜紫菀（颗粒）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炒苍耳子（颗粒）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绵萆薢（绵萆薢/颗粒）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炒车前子（颗粒）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绵马贯众（颗粒）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炒稻芽（颗粒）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墨旱莲(颗粒）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炒鸡内金（颗粒）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牡丹皮（颗粒）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炒蒺藜（颗粒）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牡蛎（颗粒）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炒僵蚕（颗粒）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木瓜（颗粒）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炒苦杏仁（西伯利亚杏/颗粒）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木蝴蝶（颗粒）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炒莱菔子(颗粒）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木香（颗粒）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炒麦芽（颗粒）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南沙参（轮叶沙参/颗粒）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炒牛蒡子（颗粒）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牛膝（颗粒）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炒酸枣仁（颗粒）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藕节炭（颗粒）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炒桃仁（山桃/颗粒）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胖大海（颗粒）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炒王不留行（颗粒）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炮姜（颗粒）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炒栀子（颗粒）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佩兰（颗粒）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炒紫苏子（颗粒）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枇杷叶（颗粒）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沉香（颗粒）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蒲公英（碱地蒲公英/颗粒）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陈皮(颗粒）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蒲黄(水烛香蒲/颗粒）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赤芍（芍药/颗粒）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蒲黄炭（颗粒）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赤小豆(赤小豆/颗粒）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千年健(颗粒）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川贝母(颗粒）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前胡（颗粒)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川楝子（颗粒）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芡实（颗粒）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川牛膝（颗粒）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茜草（颗粒）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川芎(颗粒）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茜草炭（颗粒）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垂盆草(颗粒）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羌活（颗粒）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椿皮（颗粒麸炒）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秦艽（颗粒）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磁石（颗粒煅）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秦皮（颗粒）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醋艾炭（颗粒）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瞿麦(颗粒）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醋北柴胡（颗粒）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全蝎（颗粒）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醋鳖甲（颗粒）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忍冬藤（颗粒）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醋莪术（广西莪术/颗粒）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肉苁蓉（管花肉苁蓉/颗粒）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醋龟甲（颗粒）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肉豆蔻（颗粒）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醋没药（天然没药/颗粒）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肉桂（颗粒）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醋青皮（个青皮/颗粒）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三七（颗粒）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醋乳香(埃塞俄比亚乳香/颗粒)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桑白皮（颗粒）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醋三棱（颗粒）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桑寄生（颗粒）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醋五灵脂（颗粒）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桑螵蛸（颗粒）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醋五味子（颗粒）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桑椹（颗粒）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醋香附（颗粒）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桑叶（颗粒）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醋延胡索（颗粒）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桑枝（颗粒）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醋郁金（颗粒）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沙苑子（颗粒）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大腹皮（颗粒）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砂仁（阳春砂/颗粒）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大黄（颗粒）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山药（颗粒）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大黄炭（颗粒）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山楂（山里红/颗粒）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大青叶（颗粒）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射干（颗粒）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大血藤(颗粒)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伸筋草(颗粒）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大枣（颗粒）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升麻(大三叶生麻/颗粒）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丹参（颗粒）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生地黄（颗粒）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胆南星（颗粒）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生姜（颗粒）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淡豆豉（颗粒）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生石膏（颗粒）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淡竹叶（颗粒）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石菖蒲（颗粒）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当归（颗粒）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石斛（颗粒）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党参(党参/颗粒）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石见穿（颗粒）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灯心草（颗粒）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石决明（颗粒）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地肤子（颗粒）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石榴皮（颗粒）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地骨皮（枸杞/颗粒）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石韦(颗粒）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地黄（颗粒）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柿蒂（颗粒）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地黄炭（颗粒）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首乌藤（颗粒）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地龙（颗粒）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熟地黄（颗粒）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地榆炭（地榆/颗粒）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水牛角（颗粒）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丁香（颗粒）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水蛭（颗粒）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冬瓜子（颗粒）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太子参（颗粒）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豆蔻（颗粒）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烫狗脊（颗粒）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独活（颗粒）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天冬（颗粒）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煅龙骨（颗粒）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天花粉（栝楼/颗粒）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煅瓦楞子（颗粒）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天龙（颗粒）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法半夏（颗粒)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天麻(颗粒）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防风（颗粒）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通草(颗粒）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佛手（颗粒）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土鳖虫（颗粒）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麸炒白术（颗粒）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土茯苓（颗粒）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麸炒苍术（北苍术/颗粒）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菟丝子（南方菟丝子/颗粒）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麸炒薏苡仁（颗粒）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威灵仙（颗粒）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麸炒枳壳（颗粒）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乌梅(颗粒）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麸炒枳实（酸橙/颗粒）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乌药（颗粒）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茯苓（颗粒）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蜈蚣（颗粒）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茯神（颗粒）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细辛(颗粒）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浮海石（颗粒）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夏枯草（颗粒）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浮小麦（颗粒）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仙鹤草（颗粒）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覆盆子（颗粒）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香薷（颗粒）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甘草（甘草/颗粒）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小茴香(颗粒)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甘松（颗粒）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小蓟（颗粒）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干姜（颗粒）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小麦（颗粒）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葛根（颗粒）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薤白（颗粒）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钩藤（颗粒）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辛夷(望春花/颗粒）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枸杞子（颗粒）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续断（颗粒）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谷精草(颗粒）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玄参（颗粒）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骨碎补（颗粒）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玄明粉（颗粒）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瓜蒌皮（栝楼/颗粒）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旋覆花（旋覆花/颗粒）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瓜蒌子（栝楼/颗粒）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血余炭（颗粒）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广藿香（颗粒）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盐巴戟天（颗粒）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广金钱草(颗粒）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盐补骨脂（颗粒）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桂枝（颗粒）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盐车前子（车前/颗粒）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海螵蛸（颗粒）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盐杜仲（颗粒）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合欢花（合欢花/颗粒）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盐橘核（颗粒）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合欢皮（颗粒）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盐益智仁（颗粒）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荷叶（颗粒）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盐知母（颗粒）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黑豆衣（颗粒）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益母草（颗粒）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红花（颗粒）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薏苡仁(颗粒）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虎杖（颗粒）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茵陈(颗粒）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琥珀（颗粒）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鱼腥草（颗粒）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滑石（颗粒）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玉米须（颗粒）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淮小麦（颗粒）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玉竹（颗粒）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黄柏（颗粒）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郁金（广西莪术颗粒）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黄连（黄连/颗粒）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预知子（木通/颗粒）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黄芪（蒙古黄芪/颗粒）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皂角刺（颗粒）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黄芩(颗粒）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泽兰（颗粒）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火麻仁（颗粒）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泽泻(泽泻/颗粒）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鸡血藤（颗粒）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赭石（颗粒）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姜半夏（颗粒)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浙贝母（颗粒）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姜厚朴（厚朴/颗粒）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珍珠母（颗粒）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降香（颗粒）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栀子(颗粒)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焦六神曲（颗粒）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制何首乌（颗粒）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焦山楂（山里红/颗粒）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制吴茱萸（颗粒）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芥子（颗粒）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制远志（远志/颗粒）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金钱草（颗粒）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炙甘草（甘草/颗粒）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金荞麦（颗粒）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炙黄芪（蒙古黄芪/颗粒）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金银花（颗粒）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炙淫羊藿（淫羊藿/颗粒）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金樱子（颗粒）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猪苓（颗粒）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荆芥(颗粒）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竹茹（青秆竹/颗粒）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荆芥炭（颗粒）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苎麻根（颗粒）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酒黄精（多花黄精/颗粒）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紫草（新疆紫草/颗粒）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酒女贞子（颗粒）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紫花地丁（颗粒）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酒萸肉（颗粒）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紫石英（颗粒）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桔梗（颗粒）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紫苏梗（颗粒）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菊花（颗粒）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紫苏叶（颗粒）</w:t>
            </w:r>
          </w:p>
        </w:tc>
      </w:tr>
      <w:tr>
        <w:tblPrEx>
          <w:tblCellMar>
            <w:top w:w="0" w:type="dxa"/>
            <w:left w:w="108" w:type="dxa"/>
            <w:bottom w:w="0" w:type="dxa"/>
            <w:right w:w="108" w:type="dxa"/>
          </w:tblCellMar>
        </w:tblPrEx>
        <w:trPr>
          <w:trHeight w:val="4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kern w:val="0"/>
                <w:sz w:val="22"/>
                <w:szCs w:val="22"/>
                <w:lang w:bidi="ar"/>
              </w:rPr>
              <w:t>橘络（颗粒）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等线" w:hAnsi="等线" w:eastAsia="等线" w:cs="等线"/>
                <w:color w:val="000000"/>
                <w:sz w:val="22"/>
                <w:szCs w:val="22"/>
              </w:rPr>
            </w:pPr>
          </w:p>
        </w:tc>
      </w:tr>
    </w:tbl>
    <w:p>
      <w:pPr>
        <w:pStyle w:val="2"/>
        <w:spacing w:line="360" w:lineRule="auto"/>
        <w:jc w:val="center"/>
        <w:rPr>
          <w:sz w:val="32"/>
          <w:szCs w:val="32"/>
        </w:rPr>
      </w:pPr>
      <w:r>
        <w:rPr>
          <w:sz w:val="32"/>
          <w:szCs w:val="32"/>
        </w:rPr>
        <w:br w:type="page"/>
      </w:r>
      <w:r>
        <w:rPr>
          <w:rFonts w:hint="eastAsia"/>
          <w:sz w:val="32"/>
          <w:szCs w:val="32"/>
        </w:rPr>
        <w:t>第六部分  合同的主要条款</w:t>
      </w:r>
    </w:p>
    <w:p>
      <w:pPr>
        <w:spacing w:line="480" w:lineRule="auto"/>
        <w:jc w:val="center"/>
        <w:rPr>
          <w:rFonts w:ascii="方正小标宋简体" w:eastAsia="方正小标宋简体"/>
          <w:sz w:val="32"/>
          <w:szCs w:val="32"/>
        </w:rPr>
      </w:pPr>
      <w:r>
        <w:rPr>
          <w:rFonts w:hint="eastAsia" w:ascii="方正小标宋简体" w:eastAsia="方正小标宋简体"/>
          <w:sz w:val="32"/>
          <w:szCs w:val="32"/>
        </w:rPr>
        <w:t>购销合同主要条款</w:t>
      </w:r>
    </w:p>
    <w:p>
      <w:pPr>
        <w:spacing w:line="560" w:lineRule="exact"/>
        <w:rPr>
          <w:rFonts w:ascii="宋体" w:hAnsi="宋体"/>
          <w:bCs/>
          <w:sz w:val="24"/>
          <w:szCs w:val="24"/>
        </w:rPr>
      </w:pPr>
      <w:r>
        <w:rPr>
          <w:rFonts w:hint="eastAsia" w:ascii="宋体" w:hAnsi="宋体"/>
          <w:bCs/>
          <w:sz w:val="24"/>
          <w:szCs w:val="24"/>
        </w:rPr>
        <w:t>招标人：平阳县人民医院（以下简称甲方）</w:t>
      </w:r>
    </w:p>
    <w:p>
      <w:pPr>
        <w:spacing w:line="560" w:lineRule="exact"/>
        <w:rPr>
          <w:rFonts w:ascii="宋体" w:hAnsi="宋体"/>
          <w:bCs/>
          <w:sz w:val="24"/>
          <w:szCs w:val="24"/>
        </w:rPr>
      </w:pPr>
      <w:r>
        <w:rPr>
          <w:rFonts w:hint="eastAsia" w:ascii="宋体" w:hAnsi="宋体"/>
          <w:bCs/>
          <w:sz w:val="24"/>
          <w:szCs w:val="24"/>
        </w:rPr>
        <w:t>中标人：</w:t>
      </w:r>
      <w:r>
        <w:rPr>
          <w:rFonts w:hint="eastAsia" w:ascii="宋体" w:hAnsi="宋体"/>
          <w:bCs/>
          <w:sz w:val="24"/>
          <w:szCs w:val="24"/>
          <w:u w:val="single"/>
        </w:rPr>
        <w:t xml:space="preserve">                         </w:t>
      </w:r>
      <w:r>
        <w:rPr>
          <w:rFonts w:hint="eastAsia" w:ascii="宋体" w:hAnsi="宋体"/>
          <w:bCs/>
          <w:sz w:val="24"/>
          <w:szCs w:val="24"/>
        </w:rPr>
        <w:t>（以下简称乙方）</w:t>
      </w:r>
    </w:p>
    <w:p>
      <w:pPr>
        <w:spacing w:line="560" w:lineRule="exact"/>
        <w:ind w:firstLine="588" w:firstLineChars="245"/>
        <w:rPr>
          <w:rFonts w:ascii="宋体" w:hAnsi="宋体"/>
          <w:bCs/>
          <w:sz w:val="24"/>
          <w:szCs w:val="24"/>
        </w:rPr>
      </w:pPr>
      <w:r>
        <w:rPr>
          <w:rFonts w:hint="eastAsia" w:ascii="宋体" w:hAnsi="宋体"/>
          <w:bCs/>
          <w:sz w:val="24"/>
          <w:szCs w:val="24"/>
        </w:rPr>
        <w:t>平阳县人民医院的</w:t>
      </w:r>
      <w:r>
        <w:rPr>
          <w:rFonts w:hint="eastAsia" w:ascii="宋体" w:hAnsi="宋体"/>
          <w:bCs/>
          <w:sz w:val="24"/>
          <w:szCs w:val="24"/>
          <w:u w:val="single"/>
        </w:rPr>
        <w:t xml:space="preserve">               </w:t>
      </w:r>
      <w:r>
        <w:rPr>
          <w:rFonts w:hint="eastAsia" w:ascii="宋体" w:hAnsi="宋体"/>
          <w:bCs/>
          <w:sz w:val="24"/>
          <w:szCs w:val="24"/>
        </w:rPr>
        <w:t>（项目名称、编号）在国内以公开招标方式进行招标，经评标委员会评定</w:t>
      </w:r>
      <w:r>
        <w:rPr>
          <w:rFonts w:hint="eastAsia" w:ascii="宋体" w:hAnsi="宋体"/>
          <w:bCs/>
          <w:sz w:val="24"/>
          <w:szCs w:val="24"/>
          <w:u w:val="single"/>
        </w:rPr>
        <w:t xml:space="preserve">                 </w:t>
      </w:r>
      <w:r>
        <w:rPr>
          <w:rFonts w:hint="eastAsia" w:ascii="宋体" w:hAnsi="宋体"/>
          <w:bCs/>
          <w:sz w:val="24"/>
          <w:szCs w:val="24"/>
        </w:rPr>
        <w:t>（中标人名称）为中标人。甲、乙双方本着诚信及互利互惠的原则，同意按照下面条款和条件，签署本合同。</w:t>
      </w:r>
    </w:p>
    <w:p>
      <w:pPr>
        <w:spacing w:line="560" w:lineRule="exact"/>
        <w:ind w:firstLine="590" w:firstLineChars="245"/>
        <w:outlineLvl w:val="1"/>
        <w:rPr>
          <w:rFonts w:ascii="宋体" w:hAnsi="宋体"/>
          <w:b/>
          <w:sz w:val="24"/>
          <w:szCs w:val="24"/>
        </w:rPr>
      </w:pPr>
      <w:r>
        <w:rPr>
          <w:rFonts w:hint="eastAsia" w:ascii="宋体" w:hAnsi="宋体"/>
          <w:b/>
          <w:sz w:val="24"/>
          <w:szCs w:val="24"/>
        </w:rPr>
        <w:t>一、本合同签订依据</w:t>
      </w:r>
    </w:p>
    <w:p>
      <w:pPr>
        <w:spacing w:line="560" w:lineRule="exact"/>
        <w:ind w:firstLine="588" w:firstLineChars="245"/>
        <w:outlineLvl w:val="1"/>
        <w:rPr>
          <w:rFonts w:ascii="宋体" w:hAnsi="宋体"/>
          <w:bCs/>
          <w:sz w:val="24"/>
          <w:szCs w:val="24"/>
        </w:rPr>
      </w:pPr>
      <w:r>
        <w:rPr>
          <w:rFonts w:hint="eastAsia" w:ascii="宋体" w:hAnsi="宋体"/>
          <w:bCs/>
          <w:sz w:val="24"/>
          <w:szCs w:val="24"/>
        </w:rPr>
        <w:t>《中华人民共和国民法典》</w:t>
      </w:r>
    </w:p>
    <w:p>
      <w:pPr>
        <w:spacing w:line="560" w:lineRule="exact"/>
        <w:ind w:firstLine="590" w:firstLineChars="245"/>
        <w:outlineLvl w:val="1"/>
        <w:rPr>
          <w:rFonts w:ascii="宋体" w:hAnsi="宋体"/>
          <w:b/>
          <w:sz w:val="24"/>
          <w:szCs w:val="24"/>
        </w:rPr>
      </w:pPr>
      <w:r>
        <w:rPr>
          <w:rFonts w:hint="eastAsia" w:ascii="宋体" w:hAnsi="宋体"/>
          <w:b/>
          <w:sz w:val="24"/>
          <w:szCs w:val="24"/>
        </w:rPr>
        <w:t>二、合同文件的优先次序</w:t>
      </w:r>
    </w:p>
    <w:p>
      <w:pPr>
        <w:spacing w:line="560" w:lineRule="exact"/>
        <w:ind w:firstLine="588" w:firstLineChars="245"/>
        <w:rPr>
          <w:rFonts w:ascii="宋体" w:hAnsi="宋体"/>
          <w:bCs/>
          <w:sz w:val="24"/>
          <w:szCs w:val="24"/>
        </w:rPr>
      </w:pPr>
      <w:r>
        <w:rPr>
          <w:rFonts w:hint="eastAsia" w:ascii="宋体" w:hAnsi="宋体"/>
          <w:bCs/>
          <w:sz w:val="24"/>
          <w:szCs w:val="24"/>
        </w:rPr>
        <w:t>合同文件如存在歧义或不一致则根据以下优先次序来判断：</w:t>
      </w:r>
    </w:p>
    <w:p>
      <w:pPr>
        <w:spacing w:line="560" w:lineRule="exact"/>
        <w:ind w:firstLine="588" w:firstLineChars="245"/>
        <w:rPr>
          <w:rFonts w:ascii="宋体" w:hAnsi="宋体"/>
          <w:bCs/>
          <w:sz w:val="24"/>
          <w:szCs w:val="24"/>
        </w:rPr>
      </w:pPr>
      <w:r>
        <w:rPr>
          <w:rFonts w:hint="eastAsia" w:ascii="宋体" w:hAnsi="宋体"/>
          <w:bCs/>
          <w:sz w:val="24"/>
          <w:szCs w:val="24"/>
        </w:rPr>
        <w:t xml:space="preserve">1、合同书及合同补充条款或说明 </w:t>
      </w:r>
    </w:p>
    <w:p>
      <w:pPr>
        <w:spacing w:line="560" w:lineRule="exact"/>
        <w:ind w:firstLine="588" w:firstLineChars="245"/>
        <w:rPr>
          <w:rFonts w:ascii="宋体" w:hAnsi="宋体"/>
          <w:bCs/>
          <w:sz w:val="24"/>
          <w:szCs w:val="24"/>
        </w:rPr>
      </w:pPr>
      <w:r>
        <w:rPr>
          <w:rFonts w:hint="eastAsia" w:ascii="宋体" w:hAnsi="宋体"/>
          <w:bCs/>
          <w:sz w:val="24"/>
          <w:szCs w:val="24"/>
        </w:rPr>
        <w:t>2、中标通知书</w:t>
      </w:r>
    </w:p>
    <w:p>
      <w:pPr>
        <w:spacing w:line="560" w:lineRule="exact"/>
        <w:ind w:firstLine="588" w:firstLineChars="245"/>
        <w:rPr>
          <w:rFonts w:ascii="宋体" w:hAnsi="宋体"/>
          <w:bCs/>
          <w:sz w:val="24"/>
          <w:szCs w:val="24"/>
        </w:rPr>
      </w:pPr>
      <w:r>
        <w:rPr>
          <w:rFonts w:hint="eastAsia" w:ascii="宋体" w:hAnsi="宋体"/>
          <w:bCs/>
          <w:sz w:val="24"/>
          <w:szCs w:val="24"/>
        </w:rPr>
        <w:t>3、承诺书（含询标记录和优惠条款）</w:t>
      </w:r>
    </w:p>
    <w:p>
      <w:pPr>
        <w:spacing w:line="560" w:lineRule="exact"/>
        <w:ind w:firstLine="588" w:firstLineChars="245"/>
        <w:rPr>
          <w:rFonts w:ascii="宋体" w:hAnsi="宋体"/>
          <w:bCs/>
          <w:sz w:val="24"/>
          <w:szCs w:val="24"/>
        </w:rPr>
      </w:pPr>
      <w:r>
        <w:rPr>
          <w:rFonts w:hint="eastAsia" w:ascii="宋体" w:hAnsi="宋体"/>
          <w:bCs/>
          <w:sz w:val="24"/>
          <w:szCs w:val="24"/>
        </w:rPr>
        <w:t>4、招标文件</w:t>
      </w:r>
    </w:p>
    <w:p>
      <w:pPr>
        <w:spacing w:line="560" w:lineRule="exact"/>
        <w:ind w:firstLine="588" w:firstLineChars="245"/>
        <w:rPr>
          <w:rFonts w:ascii="宋体" w:hAnsi="宋体"/>
          <w:bCs/>
          <w:sz w:val="24"/>
          <w:szCs w:val="24"/>
        </w:rPr>
      </w:pPr>
      <w:r>
        <w:rPr>
          <w:rFonts w:hint="eastAsia" w:ascii="宋体" w:hAnsi="宋体"/>
          <w:bCs/>
          <w:sz w:val="24"/>
          <w:szCs w:val="24"/>
        </w:rPr>
        <w:t>5、投标文件</w:t>
      </w:r>
    </w:p>
    <w:p>
      <w:pPr>
        <w:spacing w:line="560" w:lineRule="exact"/>
        <w:ind w:firstLine="590" w:firstLineChars="245"/>
        <w:outlineLvl w:val="1"/>
        <w:rPr>
          <w:rFonts w:ascii="宋体" w:hAnsi="宋体"/>
          <w:b/>
          <w:sz w:val="24"/>
          <w:szCs w:val="24"/>
        </w:rPr>
      </w:pPr>
      <w:r>
        <w:rPr>
          <w:rFonts w:hint="eastAsia" w:ascii="宋体" w:hAnsi="宋体"/>
          <w:b/>
          <w:sz w:val="24"/>
          <w:szCs w:val="24"/>
        </w:rPr>
        <w:t>三、合同期限</w:t>
      </w:r>
    </w:p>
    <w:p>
      <w:pPr>
        <w:tabs>
          <w:tab w:val="left" w:pos="7140"/>
        </w:tabs>
        <w:snapToGrid w:val="0"/>
        <w:spacing w:line="560" w:lineRule="exact"/>
        <w:ind w:firstLine="566" w:firstLineChars="236"/>
        <w:rPr>
          <w:rFonts w:ascii="宋体" w:hAnsi="宋体" w:cs="宋体"/>
          <w:caps/>
          <w:sz w:val="24"/>
          <w:szCs w:val="24"/>
        </w:rPr>
      </w:pPr>
      <w:r>
        <w:rPr>
          <w:rFonts w:hint="eastAsia" w:ascii="宋体" w:hAnsi="宋体"/>
          <w:sz w:val="24"/>
          <w:szCs w:val="24"/>
        </w:rPr>
        <w:t>1、中药配方颗粒（以下简称药品）单价以绍兴市医药行业协会发布中药配方颗粒最高零售价的________（中标扣率）作为采购单价，具体详</w:t>
      </w:r>
      <w:r>
        <w:rPr>
          <w:rFonts w:hint="eastAsia" w:ascii="宋体" w:hAnsi="宋体" w:cs="宋体"/>
          <w:caps/>
          <w:sz w:val="24"/>
          <w:szCs w:val="24"/>
        </w:rPr>
        <w:t>见附件中标药品目录。配套仪器及相关服务价格为1000元/年，租赁费用在合作期满后1个月内按实际租赁月份一次性支付</w:t>
      </w:r>
      <w:r>
        <w:rPr>
          <w:rFonts w:hint="eastAsia" w:ascii="宋体" w:hAnsi="宋体"/>
          <w:sz w:val="24"/>
          <w:szCs w:val="24"/>
        </w:rPr>
        <w:t>。</w:t>
      </w:r>
    </w:p>
    <w:p>
      <w:pPr>
        <w:spacing w:line="560" w:lineRule="exact"/>
        <w:ind w:firstLine="588" w:firstLineChars="245"/>
        <w:rPr>
          <w:rFonts w:ascii="宋体" w:hAnsi="宋体"/>
          <w:sz w:val="24"/>
          <w:szCs w:val="24"/>
        </w:rPr>
      </w:pPr>
      <w:r>
        <w:rPr>
          <w:rFonts w:hint="eastAsia" w:ascii="宋体" w:hAnsi="宋体"/>
          <w:sz w:val="24"/>
          <w:szCs w:val="24"/>
        </w:rPr>
        <w:t>2、服务期限为1年，即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日。一年合同期满后，招标人对中标者的合同履行等情况进行综合评估，考虑续签合同（一般不超过2次）。合同期内，因政府部门调整中药配方颗粒采购有关政策的，从其规定。</w:t>
      </w:r>
    </w:p>
    <w:p>
      <w:pPr>
        <w:spacing w:line="560" w:lineRule="exact"/>
        <w:ind w:firstLine="590" w:firstLineChars="245"/>
        <w:outlineLvl w:val="1"/>
        <w:rPr>
          <w:rFonts w:ascii="宋体" w:hAnsi="宋体"/>
          <w:b/>
          <w:sz w:val="24"/>
          <w:szCs w:val="24"/>
        </w:rPr>
      </w:pPr>
      <w:r>
        <w:rPr>
          <w:rFonts w:hint="eastAsia" w:ascii="宋体" w:hAnsi="宋体"/>
          <w:b/>
          <w:sz w:val="24"/>
          <w:szCs w:val="24"/>
        </w:rPr>
        <w:t>四、产品要求</w:t>
      </w:r>
    </w:p>
    <w:p>
      <w:pPr>
        <w:pStyle w:val="12"/>
        <w:snapToGrid w:val="0"/>
        <w:spacing w:before="120" w:after="120" w:line="560" w:lineRule="exact"/>
        <w:ind w:left="418" w:leftChars="199" w:firstLine="69" w:firstLineChars="29"/>
        <w:rPr>
          <w:rFonts w:hAnsi="宋体"/>
          <w:sz w:val="24"/>
          <w:szCs w:val="24"/>
        </w:rPr>
      </w:pPr>
      <w:r>
        <w:rPr>
          <w:rFonts w:hint="eastAsia" w:hAnsi="宋体"/>
          <w:sz w:val="24"/>
          <w:szCs w:val="24"/>
        </w:rPr>
        <w:t>1.乙方应按符合甲方要求的药品供货，保证药品质量，不得供应假冒伪劣药品。</w:t>
      </w:r>
    </w:p>
    <w:p>
      <w:pPr>
        <w:pStyle w:val="12"/>
        <w:snapToGrid w:val="0"/>
        <w:spacing w:before="120" w:after="120" w:line="560" w:lineRule="exact"/>
        <w:ind w:left="418" w:leftChars="199" w:firstLine="69" w:firstLineChars="29"/>
        <w:rPr>
          <w:rFonts w:hAnsi="宋体"/>
          <w:sz w:val="24"/>
          <w:szCs w:val="24"/>
        </w:rPr>
      </w:pPr>
      <w:r>
        <w:rPr>
          <w:rFonts w:hint="eastAsia" w:hAnsi="宋体"/>
          <w:sz w:val="24"/>
          <w:szCs w:val="24"/>
        </w:rPr>
        <w:t>2.乙方负责药品效期管理并保证无条件退货。</w:t>
      </w:r>
    </w:p>
    <w:p>
      <w:pPr>
        <w:spacing w:before="156" w:beforeLines="50" w:line="560" w:lineRule="exact"/>
        <w:ind w:firstLine="482" w:firstLineChars="200"/>
        <w:jc w:val="left"/>
        <w:rPr>
          <w:rFonts w:ascii="宋体" w:hAnsi="宋体"/>
          <w:b/>
          <w:sz w:val="24"/>
          <w:szCs w:val="24"/>
        </w:rPr>
      </w:pPr>
      <w:r>
        <w:rPr>
          <w:rFonts w:hint="eastAsia" w:ascii="宋体" w:hAnsi="宋体"/>
          <w:b/>
          <w:sz w:val="24"/>
          <w:szCs w:val="24"/>
        </w:rPr>
        <w:t>五、</w:t>
      </w:r>
      <w:r>
        <w:rPr>
          <w:rFonts w:ascii="宋体" w:hAnsi="宋体"/>
          <w:b/>
          <w:sz w:val="24"/>
          <w:szCs w:val="24"/>
        </w:rPr>
        <w:t>交货期、</w:t>
      </w:r>
      <w:r>
        <w:rPr>
          <w:rFonts w:hint="eastAsia" w:ascii="宋体" w:hAnsi="宋体"/>
          <w:b/>
          <w:sz w:val="24"/>
          <w:szCs w:val="24"/>
        </w:rPr>
        <w:t>交货方式及</w:t>
      </w:r>
      <w:r>
        <w:rPr>
          <w:rFonts w:ascii="宋体" w:hAnsi="宋体"/>
          <w:b/>
          <w:sz w:val="24"/>
          <w:szCs w:val="24"/>
        </w:rPr>
        <w:t>交货地点</w:t>
      </w:r>
    </w:p>
    <w:p>
      <w:pPr>
        <w:spacing w:line="56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交货期：乙方接到甲方的采购通知后，应在___个工作日内将相应药品按医院要求的数量及时送达医院指定的地点。</w:t>
      </w:r>
    </w:p>
    <w:p>
      <w:pPr>
        <w:spacing w:line="560" w:lineRule="exact"/>
        <w:ind w:firstLine="480" w:firstLineChars="200"/>
        <w:rPr>
          <w:rFonts w:ascii="宋体" w:hAnsi="宋体"/>
          <w:sz w:val="24"/>
          <w:szCs w:val="24"/>
        </w:rPr>
      </w:pPr>
      <w:r>
        <w:rPr>
          <w:rFonts w:hint="eastAsia" w:ascii="宋体" w:hAnsi="宋体"/>
          <w:sz w:val="24"/>
          <w:szCs w:val="24"/>
        </w:rPr>
        <w:t>2. 交货方式：经甲方仓库保管员书面验收后入库。货物在有效期内未使用完，</w:t>
      </w:r>
      <w:r>
        <w:rPr>
          <w:rFonts w:hint="eastAsia" w:ascii="宋体" w:hAnsi="宋体"/>
          <w:sz w:val="24"/>
          <w:szCs w:val="24"/>
          <w:lang w:eastAsia="zh-Hans"/>
        </w:rPr>
        <w:t>乙方应当无条件</w:t>
      </w:r>
      <w:r>
        <w:rPr>
          <w:rFonts w:hint="eastAsia" w:ascii="宋体" w:hAnsi="宋体"/>
          <w:sz w:val="24"/>
          <w:szCs w:val="24"/>
        </w:rPr>
        <w:t>免费调换。</w:t>
      </w:r>
    </w:p>
    <w:p>
      <w:pPr>
        <w:spacing w:line="560" w:lineRule="exact"/>
        <w:ind w:firstLine="480" w:firstLineChars="200"/>
        <w:rPr>
          <w:rFonts w:ascii="宋体" w:hAnsi="宋体"/>
          <w:sz w:val="24"/>
          <w:szCs w:val="24"/>
        </w:rPr>
      </w:pPr>
      <w:r>
        <w:rPr>
          <w:rFonts w:hint="eastAsia" w:ascii="宋体" w:hAnsi="宋体"/>
          <w:sz w:val="24"/>
          <w:szCs w:val="24"/>
        </w:rPr>
        <w:t>3. 交货地点：甲方指定地点</w:t>
      </w:r>
    </w:p>
    <w:p>
      <w:pPr>
        <w:spacing w:line="560" w:lineRule="exact"/>
        <w:ind w:firstLine="590" w:firstLineChars="245"/>
        <w:outlineLvl w:val="1"/>
        <w:rPr>
          <w:rFonts w:ascii="宋体" w:hAnsi="宋体"/>
          <w:b/>
          <w:sz w:val="24"/>
          <w:szCs w:val="24"/>
        </w:rPr>
      </w:pPr>
      <w:r>
        <w:rPr>
          <w:rFonts w:hint="eastAsia" w:ascii="宋体" w:hAnsi="宋体"/>
          <w:b/>
          <w:sz w:val="24"/>
          <w:szCs w:val="24"/>
        </w:rPr>
        <w:t>六、</w:t>
      </w:r>
      <w:r>
        <w:rPr>
          <w:rFonts w:ascii="宋体" w:hAnsi="宋体"/>
          <w:b/>
          <w:sz w:val="24"/>
          <w:szCs w:val="24"/>
        </w:rPr>
        <w:t>货款支付</w:t>
      </w:r>
    </w:p>
    <w:p>
      <w:pPr>
        <w:spacing w:line="560" w:lineRule="exact"/>
        <w:ind w:firstLine="480" w:firstLineChars="200"/>
        <w:rPr>
          <w:rFonts w:ascii="宋体" w:hAnsi="宋体"/>
          <w:sz w:val="24"/>
          <w:szCs w:val="24"/>
        </w:rPr>
      </w:pPr>
      <w:r>
        <w:rPr>
          <w:rFonts w:hint="eastAsia" w:ascii="宋体" w:hAnsi="宋体"/>
          <w:bCs/>
          <w:sz w:val="24"/>
          <w:szCs w:val="24"/>
        </w:rPr>
        <w:t>货款结算以甲方提供的月度处方使用量进行结算，</w:t>
      </w:r>
      <w:r>
        <w:rPr>
          <w:rFonts w:hint="eastAsia" w:ascii="宋体" w:hAnsi="宋体"/>
          <w:sz w:val="24"/>
          <w:szCs w:val="24"/>
        </w:rPr>
        <w:t>甲方财务入账后______个月内支付（遇质量问题等特殊情况除外）。</w:t>
      </w:r>
      <w:r>
        <w:rPr>
          <w:rFonts w:hint="eastAsia" w:ascii="宋体" w:hAnsi="宋体"/>
          <w:sz w:val="24"/>
          <w:szCs w:val="24"/>
          <w:lang w:eastAsia="zh-Hans"/>
        </w:rPr>
        <w:t>甲方付款前</w:t>
      </w:r>
      <w:r>
        <w:rPr>
          <w:rFonts w:ascii="宋体" w:hAnsi="宋体"/>
          <w:sz w:val="24"/>
          <w:szCs w:val="24"/>
          <w:lang w:eastAsia="zh-Hans"/>
        </w:rPr>
        <w:t>，</w:t>
      </w:r>
      <w:r>
        <w:rPr>
          <w:rFonts w:hint="eastAsia" w:ascii="宋体" w:hAnsi="宋体"/>
          <w:sz w:val="24"/>
          <w:szCs w:val="24"/>
          <w:lang w:eastAsia="zh-Hans"/>
        </w:rPr>
        <w:t>乙方应当支付真实足额的发票</w:t>
      </w:r>
      <w:r>
        <w:rPr>
          <w:rFonts w:ascii="宋体" w:hAnsi="宋体"/>
          <w:sz w:val="24"/>
          <w:szCs w:val="24"/>
          <w:lang w:eastAsia="zh-Hans"/>
        </w:rPr>
        <w:t>，</w:t>
      </w:r>
      <w:r>
        <w:rPr>
          <w:rFonts w:hint="eastAsia" w:ascii="宋体" w:hAnsi="宋体"/>
          <w:sz w:val="24"/>
          <w:szCs w:val="24"/>
        </w:rPr>
        <w:t>发票章单位名称必须与投标时公章名称相符合，否则甲方有权拒付相关款项。上级政府有关中药配方颗粒货款结算政策发生调整的，双方协商处理。</w:t>
      </w:r>
    </w:p>
    <w:p>
      <w:pPr>
        <w:spacing w:line="560" w:lineRule="exact"/>
        <w:ind w:firstLine="590" w:firstLineChars="245"/>
        <w:outlineLvl w:val="1"/>
        <w:rPr>
          <w:rFonts w:ascii="宋体" w:hAnsi="宋体"/>
          <w:b/>
          <w:sz w:val="24"/>
          <w:szCs w:val="24"/>
        </w:rPr>
      </w:pPr>
      <w:r>
        <w:rPr>
          <w:rFonts w:hint="eastAsia" w:ascii="宋体" w:hAnsi="宋体"/>
          <w:b/>
          <w:sz w:val="24"/>
          <w:szCs w:val="24"/>
        </w:rPr>
        <w:t>七、税费</w:t>
      </w:r>
    </w:p>
    <w:p>
      <w:pPr>
        <w:snapToGrid w:val="0"/>
        <w:spacing w:before="156" w:beforeLines="50" w:after="156" w:afterLines="50" w:line="560" w:lineRule="exact"/>
        <w:ind w:firstLine="480" w:firstLineChars="200"/>
        <w:rPr>
          <w:rFonts w:ascii="宋体" w:hAnsi="宋体"/>
          <w:sz w:val="24"/>
          <w:szCs w:val="24"/>
        </w:rPr>
      </w:pPr>
      <w:r>
        <w:rPr>
          <w:rFonts w:hint="eastAsia" w:ascii="宋体" w:hAnsi="宋体"/>
          <w:sz w:val="24"/>
          <w:szCs w:val="24"/>
        </w:rPr>
        <w:t>本合同执行中相关的一切税费均由</w:t>
      </w:r>
      <w:r>
        <w:rPr>
          <w:rFonts w:ascii="宋体" w:hAnsi="宋体"/>
          <w:sz w:val="24"/>
          <w:szCs w:val="24"/>
        </w:rPr>
        <w:t>乙</w:t>
      </w:r>
      <w:r>
        <w:rPr>
          <w:rFonts w:hint="eastAsia" w:ascii="宋体" w:hAnsi="宋体"/>
          <w:sz w:val="24"/>
          <w:szCs w:val="24"/>
        </w:rPr>
        <w:t>方负担。</w:t>
      </w:r>
    </w:p>
    <w:p>
      <w:pPr>
        <w:spacing w:line="560" w:lineRule="exact"/>
        <w:ind w:left="420"/>
        <w:rPr>
          <w:rFonts w:ascii="宋体" w:hAnsi="宋体"/>
          <w:sz w:val="24"/>
          <w:szCs w:val="24"/>
        </w:rPr>
      </w:pPr>
      <w:r>
        <w:rPr>
          <w:rFonts w:hint="eastAsia" w:ascii="宋体" w:hAnsi="宋体"/>
          <w:b/>
          <w:sz w:val="24"/>
          <w:szCs w:val="24"/>
        </w:rPr>
        <w:t>八、</w:t>
      </w:r>
      <w:r>
        <w:rPr>
          <w:rFonts w:ascii="宋体" w:hAnsi="宋体"/>
          <w:b/>
          <w:sz w:val="24"/>
          <w:szCs w:val="24"/>
        </w:rPr>
        <w:t>质量保证及售后服务</w:t>
      </w:r>
    </w:p>
    <w:p>
      <w:pPr>
        <w:spacing w:line="560" w:lineRule="exact"/>
        <w:ind w:firstLine="588" w:firstLineChars="245"/>
        <w:outlineLvl w:val="1"/>
        <w:rPr>
          <w:rFonts w:ascii="宋体" w:hAnsi="宋体"/>
          <w:bCs/>
          <w:sz w:val="24"/>
          <w:szCs w:val="24"/>
        </w:rPr>
      </w:pPr>
      <w:r>
        <w:rPr>
          <w:rFonts w:hint="eastAsia" w:ascii="宋体" w:hAnsi="宋体"/>
          <w:bCs/>
          <w:sz w:val="24"/>
          <w:szCs w:val="24"/>
        </w:rPr>
        <w:t>（1）必须保证所供应的中药配方颗粒是符合国家药监局综合司《关于中药配方颗粒备案工作有关事项的通知》、《浙江省中药配方颗粒管理细则》等文件与通知规定的合法、合格药品，保证所供应的中药配方颗粒到货入库的剩余有效期不少于_____年（特殊药品除外），且保证有效期内的中药配方颗粒的质量。</w:t>
      </w:r>
    </w:p>
    <w:p>
      <w:pPr>
        <w:spacing w:line="560" w:lineRule="exact"/>
        <w:ind w:firstLine="588" w:firstLineChars="245"/>
        <w:outlineLvl w:val="1"/>
        <w:rPr>
          <w:rFonts w:ascii="宋体" w:hAnsi="宋体"/>
          <w:bCs/>
          <w:sz w:val="24"/>
          <w:szCs w:val="24"/>
        </w:rPr>
      </w:pPr>
      <w:r>
        <w:rPr>
          <w:rFonts w:hint="eastAsia" w:ascii="宋体" w:hAnsi="宋体"/>
          <w:bCs/>
          <w:sz w:val="24"/>
          <w:szCs w:val="24"/>
        </w:rPr>
        <w:t>（2）甲方仅负责提供相关场地及日常水电，乙方应无偿提供与医院使用规模相适应的、与中药配方颗粒相配套的调剂设备（包含设备的保养和维修，并保证提供最新型号设备且承诺若有升级版设备应用半年内更新，至少以不低于浙江省内首家医院应用为准）以及</w:t>
      </w:r>
      <w:r>
        <w:rPr>
          <w:sz w:val="24"/>
          <w:szCs w:val="24"/>
        </w:rPr>
        <w:t>符合上岗要求的专业技术人员</w:t>
      </w:r>
      <w:r>
        <w:rPr>
          <w:rFonts w:hint="eastAsia" w:ascii="宋体" w:hAnsi="宋体"/>
          <w:bCs/>
          <w:sz w:val="24"/>
          <w:szCs w:val="24"/>
        </w:rPr>
        <w:t>等配套服务。投标文件中需提供目前最新调配机图样装机型号。全部机组设备等相关工作在合同签订后30天内处理完毕，保证医院业务顺利开展且以不影响正常业务开展为前提。</w:t>
      </w:r>
    </w:p>
    <w:p>
      <w:pPr>
        <w:spacing w:line="560" w:lineRule="exact"/>
        <w:ind w:firstLine="588" w:firstLineChars="245"/>
        <w:outlineLvl w:val="1"/>
        <w:rPr>
          <w:rFonts w:ascii="宋体" w:hAnsi="宋体"/>
          <w:bCs/>
          <w:sz w:val="24"/>
          <w:szCs w:val="24"/>
        </w:rPr>
      </w:pPr>
      <w:r>
        <w:rPr>
          <w:rFonts w:hint="eastAsia" w:ascii="宋体" w:hAnsi="宋体"/>
          <w:bCs/>
          <w:sz w:val="24"/>
          <w:szCs w:val="24"/>
        </w:rPr>
        <w:t>（3）乙方应负责调配系统、温湿度控制系统的维护、维修和保养，如发生故障，应在24小时内修复，否则应提供备用机，并且24小时内将药品送达病人指定地址，由此产生的费用由履约方承担。</w:t>
      </w:r>
    </w:p>
    <w:p>
      <w:pPr>
        <w:spacing w:line="560" w:lineRule="exact"/>
        <w:ind w:firstLine="588" w:firstLineChars="245"/>
        <w:outlineLvl w:val="1"/>
        <w:rPr>
          <w:rFonts w:ascii="宋体" w:hAnsi="宋体"/>
          <w:bCs/>
          <w:sz w:val="24"/>
          <w:szCs w:val="24"/>
        </w:rPr>
      </w:pPr>
      <w:r>
        <w:rPr>
          <w:rFonts w:hint="eastAsia" w:ascii="宋体" w:hAnsi="宋体"/>
          <w:bCs/>
          <w:sz w:val="24"/>
          <w:szCs w:val="24"/>
        </w:rPr>
        <w:t>（4）乙方必须遵循采购人有关保证智能中药房规范运行的工作流程和保证智能中药房规范运行的管理制度并签署相关廉洁协议。</w:t>
      </w:r>
    </w:p>
    <w:p>
      <w:pPr>
        <w:spacing w:line="560" w:lineRule="exact"/>
        <w:ind w:firstLine="588" w:firstLineChars="245"/>
        <w:outlineLvl w:val="1"/>
        <w:rPr>
          <w:rFonts w:ascii="宋体" w:hAnsi="宋体"/>
          <w:bCs/>
          <w:sz w:val="24"/>
          <w:szCs w:val="24"/>
        </w:rPr>
      </w:pPr>
      <w:r>
        <w:rPr>
          <w:rFonts w:hint="eastAsia" w:ascii="宋体" w:hAnsi="宋体"/>
          <w:bCs/>
          <w:sz w:val="24"/>
          <w:szCs w:val="24"/>
        </w:rPr>
        <w:t>（5）乙方向甲方提供规模相适应的、与中药配方颗粒相配套的调剂设备租赁服务，采购方向中标人支付租赁费用，本次相关设备租赁费用为1000元/年。</w:t>
      </w:r>
    </w:p>
    <w:p>
      <w:pPr>
        <w:spacing w:line="560" w:lineRule="exact"/>
        <w:ind w:firstLine="588" w:firstLineChars="245"/>
        <w:outlineLvl w:val="1"/>
        <w:rPr>
          <w:rFonts w:ascii="宋体" w:hAnsi="宋体"/>
          <w:bCs/>
          <w:sz w:val="24"/>
          <w:szCs w:val="24"/>
        </w:rPr>
      </w:pPr>
      <w:r>
        <w:rPr>
          <w:rFonts w:hint="eastAsia" w:ascii="宋体" w:hAnsi="宋体"/>
          <w:bCs/>
          <w:sz w:val="24"/>
          <w:szCs w:val="24"/>
        </w:rPr>
        <w:t>（6）中药配方颗粒零售价按国家相关政策执行。国家或浙江省药监部门制定发布统一标准后，乙方按照相关要求供应统一标准的中药配方颗粒，按照相同成交扣率参照绍兴最高零售价执行。合同期内，绍兴最高零售价发生调整的，由采购人根据实际情况确定是否按照成交扣率进行同步调价。合同期内，如遇浙江省级或温州地区政府部门发布中药配方颗粒最高零售价等指导价格的，双方视实际情况协商处理。乙方有义务将每期绍兴市医药行业协会关于中药配方颗粒相关价格信息单同步转达甲方。</w:t>
      </w:r>
    </w:p>
    <w:p>
      <w:pPr>
        <w:spacing w:line="560" w:lineRule="exact"/>
        <w:ind w:firstLine="588" w:firstLineChars="245"/>
        <w:outlineLvl w:val="1"/>
        <w:rPr>
          <w:rFonts w:ascii="宋体" w:hAnsi="宋体"/>
          <w:bCs/>
          <w:sz w:val="24"/>
          <w:szCs w:val="24"/>
        </w:rPr>
      </w:pPr>
      <w:r>
        <w:rPr>
          <w:rFonts w:hint="eastAsia" w:ascii="宋体" w:hAnsi="宋体"/>
          <w:bCs/>
          <w:sz w:val="24"/>
          <w:szCs w:val="24"/>
        </w:rPr>
        <w:t>（7）乙方提供其经营配方颗粒基本目录，并保证此目录内的配方颗粒在采购周期内可持续供货。</w:t>
      </w:r>
    </w:p>
    <w:p>
      <w:pPr>
        <w:spacing w:line="560" w:lineRule="exact"/>
        <w:ind w:firstLine="588" w:firstLineChars="245"/>
        <w:outlineLvl w:val="1"/>
        <w:rPr>
          <w:rFonts w:ascii="宋体" w:hAnsi="宋体"/>
          <w:bCs/>
          <w:sz w:val="24"/>
          <w:szCs w:val="24"/>
        </w:rPr>
      </w:pPr>
      <w:r>
        <w:rPr>
          <w:rFonts w:hint="eastAsia" w:ascii="宋体" w:hAnsi="宋体"/>
          <w:bCs/>
          <w:sz w:val="24"/>
          <w:szCs w:val="24"/>
        </w:rPr>
        <w:t xml:space="preserve">（8）乙方药品质量合格率100%，当出现缺货情况，必须提前与采购科室报备，原则上缺货品种在5个工作日内补齐。 </w:t>
      </w:r>
    </w:p>
    <w:p>
      <w:pPr>
        <w:spacing w:line="560" w:lineRule="exact"/>
        <w:ind w:firstLine="588" w:firstLineChars="245"/>
        <w:outlineLvl w:val="1"/>
        <w:rPr>
          <w:rFonts w:ascii="宋体" w:hAnsi="宋体"/>
          <w:bCs/>
          <w:sz w:val="24"/>
          <w:szCs w:val="24"/>
        </w:rPr>
      </w:pPr>
      <w:r>
        <w:rPr>
          <w:rFonts w:hint="eastAsia" w:ascii="宋体" w:hAnsi="宋体"/>
          <w:bCs/>
          <w:sz w:val="24"/>
          <w:szCs w:val="24"/>
        </w:rPr>
        <w:t>（9）乙方须承担的运输、退换（距药品有效期6个月的或破损的药品）等费用。</w:t>
      </w:r>
    </w:p>
    <w:p>
      <w:pPr>
        <w:spacing w:line="560" w:lineRule="exact"/>
        <w:ind w:firstLine="588" w:firstLineChars="245"/>
        <w:outlineLvl w:val="1"/>
        <w:rPr>
          <w:rFonts w:ascii="宋体" w:hAnsi="宋体"/>
          <w:bCs/>
          <w:sz w:val="24"/>
          <w:szCs w:val="24"/>
        </w:rPr>
      </w:pPr>
      <w:r>
        <w:rPr>
          <w:rFonts w:hint="eastAsia" w:ascii="宋体" w:hAnsi="宋体"/>
          <w:bCs/>
          <w:sz w:val="24"/>
          <w:szCs w:val="24"/>
        </w:rPr>
        <w:t>（10）乙方供应的药品应能接受医院方的临时抽检，检验样品由双方现场包装签字，送有资质的相关部门检测，检测相关费用由乙方承担。</w:t>
      </w:r>
    </w:p>
    <w:p>
      <w:pPr>
        <w:spacing w:line="560" w:lineRule="exact"/>
        <w:ind w:firstLine="588" w:firstLineChars="245"/>
        <w:outlineLvl w:val="1"/>
        <w:rPr>
          <w:rFonts w:ascii="宋体" w:hAnsi="宋体"/>
          <w:bCs/>
          <w:sz w:val="24"/>
          <w:szCs w:val="24"/>
        </w:rPr>
      </w:pPr>
      <w:r>
        <w:rPr>
          <w:rFonts w:hint="eastAsia" w:ascii="宋体" w:hAnsi="宋体"/>
          <w:bCs/>
          <w:sz w:val="24"/>
          <w:szCs w:val="24"/>
        </w:rPr>
        <w:t>（11）乙方与甲方签订“质量保证协议书”。乙方不得以任何借口（如无货，采购量少等）不执行甲方药品采购计划。乙方必须提供每批次配方颗粒的质量检测报告，且报告单与实物批号完全对应，经甲方验收核对无误后进行入库验收。若验收不合格，乙方必须更换货物，并且赔偿由此给甲方造成的损失；入库记录为入库验收的唯一有效凭证，入库验收时间以入库记录时间为准。</w:t>
      </w:r>
    </w:p>
    <w:p>
      <w:pPr>
        <w:spacing w:line="560" w:lineRule="exact"/>
        <w:ind w:firstLine="588" w:firstLineChars="245"/>
        <w:outlineLvl w:val="1"/>
        <w:rPr>
          <w:rFonts w:ascii="宋体" w:hAnsi="宋体"/>
          <w:bCs/>
          <w:sz w:val="24"/>
          <w:szCs w:val="24"/>
        </w:rPr>
      </w:pPr>
      <w:r>
        <w:rPr>
          <w:rFonts w:hint="eastAsia" w:ascii="宋体" w:hAnsi="宋体"/>
          <w:bCs/>
          <w:sz w:val="24"/>
          <w:szCs w:val="24"/>
        </w:rPr>
        <w:t>（12）乙方有严格的内控药品标准（包括原料、各单元工艺环节物料、中药配方颗粒成品检验标准及过程控制指标），明确生产全过程质量控制的措施、关键质控点及相关质量要求，使作为初始原料的中药材、作为提取用原料的饮片、作为制剂用原料的中间体和作为终产品的成品符合相关部门规定，保证中药配方颗粒的质量。合同执行过程中，如遇政策性变化应从其规定。</w:t>
      </w:r>
    </w:p>
    <w:p>
      <w:pPr>
        <w:spacing w:line="560" w:lineRule="exact"/>
        <w:ind w:firstLine="588" w:firstLineChars="245"/>
        <w:outlineLvl w:val="1"/>
        <w:rPr>
          <w:rFonts w:ascii="宋体" w:hAnsi="宋体"/>
          <w:bCs/>
          <w:sz w:val="24"/>
          <w:szCs w:val="24"/>
        </w:rPr>
      </w:pPr>
      <w:r>
        <w:rPr>
          <w:rFonts w:hint="eastAsia" w:ascii="宋体" w:hAnsi="宋体"/>
          <w:bCs/>
          <w:sz w:val="24"/>
          <w:szCs w:val="24"/>
        </w:rPr>
        <w:t>（13）乙方提供的服务中应包含提供药品包装材料等完成药品发放所必需的相关配套耗材，并确保此类耗材的质量符合相关质量要求规定。</w:t>
      </w:r>
    </w:p>
    <w:p>
      <w:pPr>
        <w:spacing w:line="560" w:lineRule="exact"/>
        <w:ind w:firstLine="588" w:firstLineChars="245"/>
        <w:outlineLvl w:val="1"/>
        <w:rPr>
          <w:rFonts w:ascii="宋体" w:hAnsi="宋体"/>
          <w:bCs/>
          <w:sz w:val="24"/>
          <w:szCs w:val="24"/>
        </w:rPr>
      </w:pPr>
      <w:r>
        <w:rPr>
          <w:rFonts w:hint="eastAsia" w:ascii="宋体" w:hAnsi="宋体"/>
          <w:bCs/>
          <w:sz w:val="24"/>
          <w:szCs w:val="24"/>
        </w:rPr>
        <w:t>（14）乙方提供符合国标和省标配方颗粒实际需求的终端分包装服务且满足正常业务需求。调配机应接入医院的HIS系统，接口费由中标人负责。提供中药颗粒处方审核系统。</w:t>
      </w:r>
    </w:p>
    <w:p>
      <w:pPr>
        <w:spacing w:line="560" w:lineRule="exact"/>
        <w:ind w:firstLine="588" w:firstLineChars="245"/>
        <w:outlineLvl w:val="1"/>
        <w:rPr>
          <w:rFonts w:ascii="宋体" w:hAnsi="宋体"/>
          <w:bCs/>
          <w:sz w:val="24"/>
          <w:szCs w:val="24"/>
        </w:rPr>
      </w:pPr>
      <w:r>
        <w:rPr>
          <w:rFonts w:hint="eastAsia" w:ascii="宋体" w:hAnsi="宋体"/>
          <w:bCs/>
          <w:sz w:val="24"/>
          <w:szCs w:val="24"/>
        </w:rPr>
        <w:t>（15）乙方协助甲方完成中药配方颗粒溯源信息与“瓯越云中医”系统的信息对接。</w:t>
      </w:r>
    </w:p>
    <w:p>
      <w:pPr>
        <w:spacing w:line="560" w:lineRule="exact"/>
        <w:ind w:firstLine="590" w:firstLineChars="245"/>
        <w:outlineLvl w:val="1"/>
        <w:rPr>
          <w:rFonts w:ascii="宋体" w:hAnsi="宋体"/>
          <w:b/>
          <w:sz w:val="24"/>
          <w:szCs w:val="24"/>
        </w:rPr>
      </w:pPr>
      <w:r>
        <w:rPr>
          <w:rFonts w:hint="eastAsia" w:ascii="宋体" w:hAnsi="宋体"/>
          <w:b/>
          <w:sz w:val="24"/>
          <w:szCs w:val="24"/>
        </w:rPr>
        <w:t>九、</w:t>
      </w:r>
      <w:r>
        <w:rPr>
          <w:rFonts w:ascii="宋体" w:hAnsi="宋体"/>
          <w:b/>
          <w:sz w:val="24"/>
          <w:szCs w:val="24"/>
        </w:rPr>
        <w:t>验收</w:t>
      </w:r>
    </w:p>
    <w:p>
      <w:pPr>
        <w:tabs>
          <w:tab w:val="left" w:pos="420"/>
        </w:tabs>
        <w:spacing w:line="560" w:lineRule="exact"/>
        <w:rPr>
          <w:rFonts w:ascii="宋体" w:hAnsi="宋体"/>
          <w:bCs/>
          <w:sz w:val="24"/>
          <w:szCs w:val="24"/>
        </w:rPr>
      </w:pPr>
      <w:r>
        <w:rPr>
          <w:rFonts w:hint="eastAsia" w:ascii="宋体" w:hAnsi="宋体"/>
          <w:bCs/>
          <w:sz w:val="24"/>
          <w:szCs w:val="24"/>
        </w:rPr>
        <w:t xml:space="preserve">     1、根据乙方按招标文件规定要求进行验收。在使用过程中，如药品有质量问题，乙方应免费更换相应的药品，并承担由产品质量问题而引发的全部费用。</w:t>
      </w:r>
    </w:p>
    <w:p>
      <w:pPr>
        <w:tabs>
          <w:tab w:val="left" w:pos="1080"/>
          <w:tab w:val="left" w:pos="1140"/>
        </w:tabs>
        <w:spacing w:line="560" w:lineRule="exact"/>
        <w:rPr>
          <w:rFonts w:ascii="宋体" w:hAnsi="宋体"/>
          <w:bCs/>
          <w:sz w:val="24"/>
          <w:szCs w:val="24"/>
        </w:rPr>
      </w:pPr>
      <w:r>
        <w:rPr>
          <w:rFonts w:hint="eastAsia" w:ascii="宋体" w:hAnsi="宋体"/>
          <w:bCs/>
          <w:sz w:val="24"/>
          <w:szCs w:val="24"/>
        </w:rPr>
        <w:t xml:space="preserve">     2、到货药品需与招标（投标）文件规定标准一致，如有偏差甲方可予以拒绝。</w:t>
      </w:r>
    </w:p>
    <w:p>
      <w:pPr>
        <w:spacing w:line="560" w:lineRule="exact"/>
        <w:ind w:firstLine="590" w:firstLineChars="245"/>
        <w:outlineLvl w:val="1"/>
        <w:rPr>
          <w:rFonts w:ascii="宋体" w:hAnsi="宋体"/>
          <w:b/>
          <w:sz w:val="24"/>
          <w:szCs w:val="24"/>
        </w:rPr>
      </w:pPr>
      <w:r>
        <w:rPr>
          <w:rFonts w:hint="eastAsia" w:ascii="宋体" w:hAnsi="宋体"/>
          <w:b/>
          <w:sz w:val="24"/>
          <w:szCs w:val="24"/>
        </w:rPr>
        <w:t>十、违约终止合同及赔偿</w:t>
      </w:r>
    </w:p>
    <w:p>
      <w:pPr>
        <w:spacing w:line="560" w:lineRule="exact"/>
        <w:ind w:firstLine="588" w:firstLineChars="245"/>
        <w:rPr>
          <w:rFonts w:ascii="宋体" w:hAnsi="宋体"/>
          <w:sz w:val="24"/>
          <w:szCs w:val="24"/>
        </w:rPr>
      </w:pPr>
      <w:r>
        <w:rPr>
          <w:rFonts w:hint="eastAsia" w:ascii="宋体" w:hAnsi="宋体"/>
          <w:sz w:val="24"/>
          <w:szCs w:val="24"/>
        </w:rPr>
        <w:t>1、甲方在乙方存在如下违约情况时，有权单方面终止全部或部分合同，并保留进一步追究乙方责任的权利（包括经济赔偿）。</w:t>
      </w:r>
    </w:p>
    <w:p>
      <w:pPr>
        <w:spacing w:line="560" w:lineRule="exact"/>
        <w:ind w:firstLine="588" w:firstLineChars="245"/>
        <w:rPr>
          <w:rFonts w:ascii="宋体" w:hAnsi="宋体"/>
          <w:sz w:val="24"/>
          <w:szCs w:val="24"/>
        </w:rPr>
      </w:pPr>
      <w:r>
        <w:rPr>
          <w:rFonts w:hint="eastAsia" w:ascii="宋体" w:hAnsi="宋体"/>
          <w:sz w:val="24"/>
          <w:szCs w:val="24"/>
        </w:rPr>
        <w:t>（1）乙方未能履行合同规定的义务；</w:t>
      </w:r>
    </w:p>
    <w:p>
      <w:pPr>
        <w:spacing w:line="560" w:lineRule="exact"/>
        <w:ind w:firstLine="588" w:firstLineChars="245"/>
        <w:rPr>
          <w:rFonts w:ascii="宋体" w:hAnsi="宋体"/>
          <w:sz w:val="24"/>
          <w:szCs w:val="24"/>
        </w:rPr>
      </w:pPr>
      <w:r>
        <w:rPr>
          <w:rFonts w:hint="eastAsia" w:ascii="宋体" w:hAnsi="宋体"/>
          <w:sz w:val="24"/>
          <w:szCs w:val="24"/>
        </w:rPr>
        <w:t>（2）有严重影响甲方的正常工作及形象的行为；</w:t>
      </w:r>
    </w:p>
    <w:p>
      <w:pPr>
        <w:spacing w:line="560" w:lineRule="exact"/>
        <w:ind w:firstLine="588" w:firstLineChars="245"/>
        <w:rPr>
          <w:rFonts w:ascii="宋体" w:hAnsi="宋体"/>
          <w:sz w:val="24"/>
          <w:szCs w:val="24"/>
        </w:rPr>
      </w:pPr>
      <w:r>
        <w:rPr>
          <w:rFonts w:hint="eastAsia" w:ascii="宋体" w:hAnsi="宋体"/>
          <w:sz w:val="24"/>
          <w:szCs w:val="24"/>
        </w:rPr>
        <w:t>（3）与招标文件不符合的做法，或未履行其投标文件的承诺。</w:t>
      </w:r>
    </w:p>
    <w:p>
      <w:pPr>
        <w:spacing w:line="560" w:lineRule="exact"/>
        <w:ind w:firstLine="588" w:firstLineChars="245"/>
        <w:rPr>
          <w:rFonts w:ascii="宋体" w:hAnsi="宋体"/>
          <w:sz w:val="24"/>
          <w:szCs w:val="24"/>
        </w:rPr>
      </w:pPr>
      <w:r>
        <w:rPr>
          <w:rFonts w:hint="eastAsia" w:ascii="宋体" w:hAnsi="宋体"/>
          <w:sz w:val="24"/>
          <w:szCs w:val="24"/>
        </w:rPr>
        <w:t>2、乙方如要提前终止合同，需提前3个月书面通知甲方，并征得甲方书面同意，否则继续按本合同履行。</w:t>
      </w:r>
    </w:p>
    <w:p>
      <w:pPr>
        <w:spacing w:line="560" w:lineRule="exact"/>
        <w:ind w:firstLine="588" w:firstLineChars="245"/>
        <w:rPr>
          <w:rFonts w:ascii="宋体" w:hAnsi="宋体"/>
          <w:sz w:val="24"/>
          <w:szCs w:val="24"/>
        </w:rPr>
      </w:pPr>
      <w:r>
        <w:rPr>
          <w:rFonts w:hint="eastAsia" w:ascii="宋体" w:hAnsi="宋体"/>
          <w:sz w:val="24"/>
          <w:szCs w:val="24"/>
        </w:rPr>
        <w:t>3、除不可抗力以外</w:t>
      </w:r>
      <w:r>
        <w:rPr>
          <w:rFonts w:ascii="宋体" w:hAnsi="宋体"/>
          <w:sz w:val="24"/>
          <w:szCs w:val="24"/>
          <w:lang w:eastAsia="zh-Hans"/>
        </w:rPr>
        <w:t>（</w:t>
      </w:r>
      <w:r>
        <w:rPr>
          <w:rFonts w:hint="eastAsia" w:ascii="宋体" w:hAnsi="宋体"/>
          <w:sz w:val="24"/>
          <w:szCs w:val="24"/>
          <w:lang w:eastAsia="zh-Hans"/>
        </w:rPr>
        <w:t>包括本合同第三条第二款规定的“政策性原因”</w:t>
      </w:r>
      <w:r>
        <w:rPr>
          <w:rFonts w:ascii="宋体" w:hAnsi="宋体"/>
          <w:sz w:val="24"/>
          <w:szCs w:val="24"/>
          <w:lang w:eastAsia="zh-Hans"/>
        </w:rPr>
        <w:t>）</w:t>
      </w:r>
      <w:r>
        <w:rPr>
          <w:rFonts w:hint="eastAsia" w:ascii="宋体" w:hAnsi="宋体"/>
          <w:sz w:val="24"/>
          <w:szCs w:val="24"/>
        </w:rPr>
        <w:t>，如发生乙方不能履行合同义务，或甲方发生中途终止合同等情况，应及时以书面形式通知对方。经双方协商可终止部分或全部合同的，双方无需承担违约责任。</w:t>
      </w:r>
    </w:p>
    <w:p>
      <w:pPr>
        <w:spacing w:line="560" w:lineRule="exact"/>
        <w:ind w:firstLine="590" w:firstLineChars="245"/>
        <w:outlineLvl w:val="1"/>
        <w:rPr>
          <w:rFonts w:ascii="宋体" w:hAnsi="宋体"/>
          <w:b/>
          <w:sz w:val="24"/>
          <w:szCs w:val="24"/>
        </w:rPr>
      </w:pPr>
      <w:r>
        <w:rPr>
          <w:rFonts w:hint="eastAsia" w:ascii="宋体" w:hAnsi="宋体"/>
          <w:b/>
          <w:sz w:val="24"/>
          <w:szCs w:val="24"/>
        </w:rPr>
        <w:t>十一、</w:t>
      </w:r>
      <w:r>
        <w:rPr>
          <w:rFonts w:ascii="宋体" w:hAnsi="宋体"/>
          <w:b/>
          <w:sz w:val="24"/>
          <w:szCs w:val="24"/>
        </w:rPr>
        <w:t>不可抗力事件处理</w:t>
      </w:r>
    </w:p>
    <w:p>
      <w:pPr>
        <w:pStyle w:val="12"/>
        <w:snapToGrid w:val="0"/>
        <w:spacing w:before="120" w:after="120" w:line="560" w:lineRule="exact"/>
        <w:ind w:firstLine="480" w:firstLineChars="200"/>
        <w:rPr>
          <w:rFonts w:hAnsi="宋体"/>
          <w:sz w:val="24"/>
          <w:szCs w:val="24"/>
        </w:rPr>
      </w:pPr>
      <w:r>
        <w:rPr>
          <w:rFonts w:hint="eastAsia" w:hAnsi="宋体"/>
          <w:sz w:val="24"/>
          <w:szCs w:val="24"/>
        </w:rPr>
        <w:t>1.</w:t>
      </w:r>
      <w:r>
        <w:rPr>
          <w:rFonts w:hAnsi="宋体"/>
          <w:sz w:val="24"/>
          <w:szCs w:val="24"/>
        </w:rPr>
        <w:t xml:space="preserve"> 不可抗力事件发生后，应立即通知对方，并寄送有关权威机构出具的证明。</w:t>
      </w:r>
    </w:p>
    <w:p>
      <w:pPr>
        <w:spacing w:line="560" w:lineRule="exact"/>
        <w:ind w:firstLine="590" w:firstLineChars="245"/>
        <w:outlineLvl w:val="1"/>
        <w:rPr>
          <w:rFonts w:ascii="宋体" w:hAnsi="宋体"/>
          <w:b/>
          <w:sz w:val="24"/>
          <w:szCs w:val="24"/>
        </w:rPr>
      </w:pPr>
      <w:r>
        <w:rPr>
          <w:rFonts w:hint="eastAsia" w:ascii="宋体" w:hAnsi="宋体"/>
          <w:b/>
          <w:sz w:val="24"/>
          <w:szCs w:val="24"/>
        </w:rPr>
        <w:t>十二、破产终止合同</w:t>
      </w:r>
    </w:p>
    <w:p>
      <w:pPr>
        <w:spacing w:line="560" w:lineRule="exact"/>
        <w:ind w:firstLine="588" w:firstLineChars="245"/>
        <w:rPr>
          <w:rFonts w:ascii="宋体" w:hAnsi="宋体"/>
          <w:sz w:val="24"/>
          <w:szCs w:val="24"/>
        </w:rPr>
      </w:pPr>
      <w:r>
        <w:rPr>
          <w:rFonts w:hint="eastAsia" w:ascii="宋体" w:hAnsi="宋体"/>
          <w:sz w:val="24"/>
          <w:szCs w:val="24"/>
        </w:rPr>
        <w:t xml:space="preserve"> 如果乙方破产或无服务能力时，甲方可在任何时候以书面形式通知乙方终止合同。该终止合同的行为将不损害或影响甲方已经采取或将要采取的补救措施的权利。</w:t>
      </w:r>
    </w:p>
    <w:p>
      <w:pPr>
        <w:spacing w:line="560" w:lineRule="exact"/>
        <w:ind w:firstLine="590" w:firstLineChars="245"/>
        <w:outlineLvl w:val="1"/>
        <w:rPr>
          <w:rFonts w:ascii="宋体" w:hAnsi="宋体"/>
          <w:b/>
          <w:sz w:val="24"/>
          <w:szCs w:val="24"/>
        </w:rPr>
      </w:pPr>
      <w:r>
        <w:rPr>
          <w:rFonts w:hint="eastAsia" w:ascii="宋体" w:hAnsi="宋体"/>
          <w:b/>
          <w:sz w:val="24"/>
          <w:szCs w:val="24"/>
        </w:rPr>
        <w:t>十三、争议解决</w:t>
      </w:r>
    </w:p>
    <w:p>
      <w:pPr>
        <w:spacing w:line="560" w:lineRule="exact"/>
        <w:ind w:firstLine="588" w:firstLineChars="245"/>
        <w:rPr>
          <w:rFonts w:ascii="宋体" w:hAnsi="宋体"/>
          <w:sz w:val="24"/>
          <w:szCs w:val="24"/>
        </w:rPr>
      </w:pPr>
      <w:r>
        <w:rPr>
          <w:rFonts w:hint="eastAsia" w:ascii="宋体" w:hAnsi="宋体"/>
          <w:sz w:val="24"/>
          <w:szCs w:val="24"/>
        </w:rPr>
        <w:t>1、双方在履行合同中所发生的一切争议，应通过协商解决。如协商不成，应向甲方所在地有管辖权的人民法院提起诉讼</w:t>
      </w:r>
    </w:p>
    <w:p>
      <w:pPr>
        <w:spacing w:line="560" w:lineRule="exact"/>
        <w:ind w:firstLine="588" w:firstLineChars="245"/>
        <w:rPr>
          <w:rFonts w:ascii="宋体" w:hAnsi="宋体"/>
          <w:sz w:val="24"/>
          <w:szCs w:val="24"/>
        </w:rPr>
      </w:pPr>
      <w:r>
        <w:rPr>
          <w:rFonts w:hint="eastAsia" w:ascii="宋体" w:hAnsi="宋体"/>
          <w:sz w:val="24"/>
          <w:szCs w:val="24"/>
        </w:rPr>
        <w:t>2、在诉讼期间，除正在进行诉讼的部份外，本合同其他部份应继续执行。</w:t>
      </w:r>
    </w:p>
    <w:p>
      <w:pPr>
        <w:spacing w:line="560" w:lineRule="exact"/>
        <w:ind w:firstLine="588" w:firstLineChars="245"/>
        <w:rPr>
          <w:rFonts w:ascii="宋体" w:hAnsi="宋体"/>
          <w:bCs/>
          <w:sz w:val="24"/>
          <w:szCs w:val="24"/>
        </w:rPr>
      </w:pPr>
      <w:r>
        <w:rPr>
          <w:rFonts w:hint="eastAsia" w:ascii="宋体" w:hAnsi="宋体"/>
          <w:bCs/>
          <w:sz w:val="24"/>
          <w:szCs w:val="24"/>
        </w:rPr>
        <w:t>3、</w:t>
      </w:r>
      <w:r>
        <w:rPr>
          <w:rFonts w:hint="eastAsia" w:ascii="宋体" w:hAnsi="宋体"/>
          <w:sz w:val="24"/>
          <w:szCs w:val="24"/>
        </w:rPr>
        <w:t>诉讼</w:t>
      </w:r>
      <w:r>
        <w:rPr>
          <w:rFonts w:hint="eastAsia" w:ascii="宋体" w:hAnsi="宋体"/>
          <w:bCs/>
          <w:sz w:val="24"/>
          <w:szCs w:val="24"/>
        </w:rPr>
        <w:t>费用除司法部门另行有规定外，由败诉方承担。</w:t>
      </w:r>
    </w:p>
    <w:p>
      <w:pPr>
        <w:spacing w:line="560" w:lineRule="exact"/>
        <w:ind w:firstLine="590" w:firstLineChars="245"/>
        <w:outlineLvl w:val="1"/>
        <w:rPr>
          <w:rFonts w:ascii="宋体" w:hAnsi="宋体"/>
          <w:b/>
          <w:sz w:val="24"/>
          <w:szCs w:val="24"/>
        </w:rPr>
      </w:pPr>
      <w:r>
        <w:rPr>
          <w:rFonts w:hint="eastAsia" w:ascii="宋体" w:hAnsi="宋体"/>
          <w:b/>
          <w:sz w:val="24"/>
          <w:szCs w:val="24"/>
        </w:rPr>
        <w:t>十四</w:t>
      </w:r>
      <w:r>
        <w:rPr>
          <w:rFonts w:ascii="宋体" w:hAnsi="宋体"/>
          <w:b/>
          <w:sz w:val="24"/>
          <w:szCs w:val="24"/>
        </w:rPr>
        <w:t>、</w:t>
      </w:r>
      <w:r>
        <w:rPr>
          <w:rFonts w:hint="eastAsia" w:ascii="宋体" w:hAnsi="宋体"/>
          <w:b/>
          <w:sz w:val="24"/>
          <w:szCs w:val="24"/>
        </w:rPr>
        <w:t>其他约定条款</w:t>
      </w:r>
    </w:p>
    <w:p>
      <w:pPr>
        <w:tabs>
          <w:tab w:val="left" w:pos="420"/>
        </w:tabs>
        <w:spacing w:line="560" w:lineRule="exact"/>
        <w:ind w:firstLine="480" w:firstLineChars="200"/>
        <w:rPr>
          <w:rFonts w:ascii="宋体" w:hAnsi="宋体"/>
          <w:sz w:val="24"/>
          <w:szCs w:val="24"/>
        </w:rPr>
      </w:pPr>
      <w:r>
        <w:rPr>
          <w:rFonts w:hint="eastAsia" w:ascii="宋体" w:hAnsi="宋体"/>
          <w:sz w:val="24"/>
          <w:szCs w:val="24"/>
        </w:rPr>
        <w:t>1、甲乙双方在药品购销过程中严格执行《药品管理法》《医疗机构药事管理规定》和《处方管理办法》等法律法规的有关规定，诚信经营。</w:t>
      </w:r>
    </w:p>
    <w:p>
      <w:pPr>
        <w:tabs>
          <w:tab w:val="left" w:pos="420"/>
        </w:tabs>
        <w:spacing w:line="560" w:lineRule="exact"/>
        <w:ind w:firstLine="480" w:firstLineChars="200"/>
        <w:rPr>
          <w:rFonts w:ascii="宋体" w:hAnsi="宋体"/>
          <w:sz w:val="24"/>
          <w:szCs w:val="24"/>
        </w:rPr>
      </w:pPr>
      <w:r>
        <w:rPr>
          <w:rFonts w:hint="eastAsia" w:ascii="宋体" w:hAnsi="宋体"/>
          <w:sz w:val="24"/>
          <w:szCs w:val="24"/>
        </w:rPr>
        <w:t>2、乙方在保证药品质量前提下按约定的药品品种、剂型、规格、数量、价格、供货方式等供货，保证临床用药。招标后新增品种供应价不高于该品种周边同等级医疗机构供应价。</w:t>
      </w:r>
    </w:p>
    <w:p>
      <w:pPr>
        <w:tabs>
          <w:tab w:val="left" w:pos="420"/>
        </w:tabs>
        <w:spacing w:line="560" w:lineRule="exact"/>
        <w:ind w:firstLine="480" w:firstLineChars="200"/>
        <w:rPr>
          <w:rFonts w:ascii="宋体" w:hAnsi="宋体"/>
          <w:sz w:val="24"/>
          <w:szCs w:val="24"/>
        </w:rPr>
      </w:pPr>
      <w:r>
        <w:rPr>
          <w:rFonts w:hint="eastAsia" w:ascii="宋体" w:hAnsi="宋体"/>
          <w:sz w:val="24"/>
          <w:szCs w:val="24"/>
        </w:rPr>
        <w:t>3、甲方将根据签约承诺内容对乙方进行考核，违约将报医院监察室备案并告知供货商，两次违约将终止合同，由综合得分排名第二的投标人替补。</w:t>
      </w:r>
    </w:p>
    <w:p>
      <w:pPr>
        <w:tabs>
          <w:tab w:val="left" w:pos="420"/>
        </w:tabs>
        <w:spacing w:line="560" w:lineRule="exact"/>
        <w:ind w:firstLine="480" w:firstLineChars="200"/>
        <w:rPr>
          <w:rFonts w:ascii="宋体" w:hAnsi="宋体"/>
          <w:sz w:val="24"/>
          <w:szCs w:val="24"/>
        </w:rPr>
      </w:pPr>
      <w:r>
        <w:rPr>
          <w:rFonts w:hint="eastAsia" w:ascii="宋体" w:hAnsi="宋体"/>
          <w:sz w:val="24"/>
          <w:szCs w:val="24"/>
        </w:rPr>
        <w:t>4、经确认为药品质量原因或乙方工作人员疏忽等人为因素造成医疗机构损失的，其损失（包括由此造成的其它损失）一律由乙方承担。</w:t>
      </w:r>
    </w:p>
    <w:p>
      <w:pPr>
        <w:tabs>
          <w:tab w:val="left" w:pos="420"/>
        </w:tabs>
        <w:spacing w:line="560" w:lineRule="exact"/>
        <w:ind w:firstLine="480" w:firstLineChars="200"/>
        <w:rPr>
          <w:rFonts w:ascii="宋体" w:hAnsi="宋体"/>
          <w:sz w:val="24"/>
          <w:szCs w:val="24"/>
        </w:rPr>
      </w:pPr>
      <w:r>
        <w:rPr>
          <w:rFonts w:hint="eastAsia" w:ascii="宋体" w:hAnsi="宋体"/>
          <w:sz w:val="24"/>
          <w:szCs w:val="24"/>
        </w:rPr>
        <w:t>5、乙方发生一次下列情况之一，必须及时对药品进行处理；若造成甲方损失的，乙方应赔偿损失；如多次（三次或三次以上）发生的，甲方有权终止合同：</w:t>
      </w:r>
    </w:p>
    <w:p>
      <w:pPr>
        <w:numPr>
          <w:ilvl w:val="0"/>
          <w:numId w:val="2"/>
        </w:numPr>
        <w:spacing w:line="560" w:lineRule="exact"/>
        <w:ind w:firstLine="240" w:firstLineChars="100"/>
        <w:rPr>
          <w:rFonts w:ascii="宋体" w:hAnsi="宋体"/>
          <w:sz w:val="24"/>
          <w:szCs w:val="24"/>
        </w:rPr>
      </w:pPr>
      <w:r>
        <w:rPr>
          <w:rFonts w:hint="eastAsia" w:ascii="宋体" w:hAnsi="宋体"/>
          <w:sz w:val="24"/>
          <w:szCs w:val="24"/>
        </w:rPr>
        <w:t>入库验收和使用中发现药品达不到验收要求或甲方使用要求；</w:t>
      </w:r>
    </w:p>
    <w:p>
      <w:pPr>
        <w:numPr>
          <w:ilvl w:val="0"/>
          <w:numId w:val="2"/>
        </w:numPr>
        <w:spacing w:line="560" w:lineRule="exact"/>
        <w:ind w:firstLine="240" w:firstLineChars="100"/>
        <w:rPr>
          <w:rFonts w:ascii="宋体" w:hAnsi="宋体"/>
          <w:sz w:val="24"/>
          <w:szCs w:val="24"/>
        </w:rPr>
      </w:pPr>
      <w:r>
        <w:rPr>
          <w:rFonts w:hint="eastAsia" w:ascii="宋体" w:hAnsi="宋体"/>
          <w:sz w:val="24"/>
          <w:szCs w:val="24"/>
        </w:rPr>
        <w:t>不按时供货；</w:t>
      </w:r>
    </w:p>
    <w:p>
      <w:pPr>
        <w:numPr>
          <w:ilvl w:val="0"/>
          <w:numId w:val="2"/>
        </w:numPr>
        <w:spacing w:line="560" w:lineRule="exact"/>
        <w:ind w:firstLine="240" w:firstLineChars="100"/>
        <w:rPr>
          <w:rFonts w:ascii="宋体" w:hAnsi="宋体"/>
          <w:sz w:val="24"/>
          <w:szCs w:val="24"/>
        </w:rPr>
      </w:pPr>
      <w:r>
        <w:rPr>
          <w:rFonts w:hint="eastAsia" w:ascii="宋体" w:hAnsi="宋体"/>
          <w:sz w:val="24"/>
          <w:szCs w:val="24"/>
        </w:rPr>
        <w:t>在使用过程中发生不良事件或质量问题；</w:t>
      </w:r>
    </w:p>
    <w:p>
      <w:pPr>
        <w:numPr>
          <w:ilvl w:val="0"/>
          <w:numId w:val="2"/>
        </w:numPr>
        <w:spacing w:line="560" w:lineRule="exact"/>
        <w:ind w:firstLine="240" w:firstLineChars="100"/>
        <w:rPr>
          <w:rFonts w:ascii="宋体" w:hAnsi="宋体"/>
          <w:sz w:val="24"/>
          <w:szCs w:val="24"/>
        </w:rPr>
      </w:pPr>
      <w:r>
        <w:rPr>
          <w:rFonts w:hint="eastAsia" w:ascii="宋体" w:hAnsi="宋体"/>
          <w:sz w:val="24"/>
          <w:szCs w:val="24"/>
        </w:rPr>
        <w:t>交货时，货物已过保质期。</w:t>
      </w:r>
    </w:p>
    <w:p>
      <w:pPr>
        <w:spacing w:line="560" w:lineRule="exact"/>
        <w:ind w:firstLine="480" w:firstLineChars="200"/>
        <w:rPr>
          <w:rFonts w:ascii="宋体" w:hAnsi="宋体"/>
          <w:sz w:val="24"/>
          <w:szCs w:val="24"/>
        </w:rPr>
      </w:pPr>
      <w:r>
        <w:rPr>
          <w:rFonts w:hint="eastAsia" w:ascii="宋体" w:hAnsi="宋体"/>
          <w:sz w:val="24"/>
          <w:szCs w:val="24"/>
        </w:rPr>
        <w:t>6、乙方发生下列情况之一，甲方有权终止合同：</w:t>
      </w:r>
    </w:p>
    <w:p>
      <w:pPr>
        <w:numPr>
          <w:ilvl w:val="0"/>
          <w:numId w:val="3"/>
        </w:numPr>
        <w:spacing w:line="560" w:lineRule="exact"/>
        <w:ind w:left="315" w:leftChars="150" w:firstLine="120" w:firstLineChars="50"/>
        <w:rPr>
          <w:rFonts w:ascii="宋体" w:hAnsi="宋体"/>
          <w:sz w:val="24"/>
          <w:szCs w:val="24"/>
        </w:rPr>
      </w:pPr>
      <w:r>
        <w:rPr>
          <w:rFonts w:hint="eastAsia" w:ascii="宋体" w:hAnsi="宋体"/>
          <w:sz w:val="24"/>
          <w:szCs w:val="24"/>
        </w:rPr>
        <w:t>乙方的任一资质证书（含执行本合同须提供的相关证书）已过有效期的且无法提供新的资质证书；</w:t>
      </w:r>
    </w:p>
    <w:p>
      <w:pPr>
        <w:numPr>
          <w:ilvl w:val="0"/>
          <w:numId w:val="3"/>
        </w:numPr>
        <w:spacing w:line="560" w:lineRule="exact"/>
        <w:ind w:left="315" w:leftChars="150" w:firstLine="120" w:firstLineChars="50"/>
        <w:rPr>
          <w:rFonts w:ascii="宋体" w:hAnsi="宋体"/>
          <w:sz w:val="24"/>
          <w:szCs w:val="24"/>
        </w:rPr>
      </w:pPr>
      <w:r>
        <w:rPr>
          <w:rFonts w:hint="eastAsia" w:ascii="宋体" w:hAnsi="宋体"/>
          <w:sz w:val="24"/>
          <w:szCs w:val="24"/>
        </w:rPr>
        <w:t>乙方在产品经销过程中，有违法违纪行为的；</w:t>
      </w:r>
    </w:p>
    <w:p>
      <w:pPr>
        <w:numPr>
          <w:ilvl w:val="0"/>
          <w:numId w:val="3"/>
        </w:numPr>
        <w:spacing w:line="560" w:lineRule="exact"/>
        <w:ind w:left="315" w:leftChars="150" w:firstLine="120" w:firstLineChars="50"/>
        <w:rPr>
          <w:rFonts w:ascii="宋体" w:hAnsi="宋体"/>
          <w:sz w:val="24"/>
          <w:szCs w:val="24"/>
        </w:rPr>
      </w:pPr>
      <w:r>
        <w:rPr>
          <w:rFonts w:hint="eastAsia" w:ascii="宋体" w:hAnsi="宋体"/>
          <w:sz w:val="24"/>
          <w:szCs w:val="24"/>
        </w:rPr>
        <w:t>货物发生质量问题且乙方无法解决。</w:t>
      </w:r>
    </w:p>
    <w:p>
      <w:pPr>
        <w:tabs>
          <w:tab w:val="left" w:pos="420"/>
        </w:tabs>
        <w:spacing w:line="560" w:lineRule="exact"/>
        <w:rPr>
          <w:rFonts w:ascii="宋体" w:hAnsi="宋体"/>
          <w:sz w:val="24"/>
          <w:szCs w:val="24"/>
        </w:rPr>
      </w:pPr>
    </w:p>
    <w:p>
      <w:pPr>
        <w:spacing w:line="560" w:lineRule="exact"/>
        <w:ind w:firstLine="590" w:firstLineChars="245"/>
        <w:outlineLvl w:val="1"/>
        <w:rPr>
          <w:rFonts w:ascii="宋体" w:hAnsi="宋体"/>
          <w:b/>
          <w:sz w:val="24"/>
          <w:szCs w:val="24"/>
        </w:rPr>
      </w:pPr>
      <w:r>
        <w:rPr>
          <w:rFonts w:hint="eastAsia" w:ascii="宋体" w:hAnsi="宋体"/>
          <w:b/>
          <w:sz w:val="24"/>
          <w:szCs w:val="24"/>
        </w:rPr>
        <w:t>十五、合同生效及其他</w:t>
      </w:r>
    </w:p>
    <w:p>
      <w:pPr>
        <w:spacing w:line="560" w:lineRule="exact"/>
        <w:ind w:firstLine="588" w:firstLineChars="245"/>
        <w:rPr>
          <w:rFonts w:ascii="宋体" w:hAnsi="宋体"/>
          <w:bCs/>
          <w:sz w:val="24"/>
          <w:szCs w:val="24"/>
        </w:rPr>
      </w:pPr>
      <w:r>
        <w:rPr>
          <w:rFonts w:hint="eastAsia" w:ascii="宋体" w:hAnsi="宋体"/>
          <w:bCs/>
          <w:sz w:val="24"/>
          <w:szCs w:val="24"/>
        </w:rPr>
        <w:t>1、合同经双方签字并加盖公章后生效。</w:t>
      </w:r>
    </w:p>
    <w:p>
      <w:pPr>
        <w:spacing w:line="560" w:lineRule="exact"/>
        <w:ind w:firstLine="588" w:firstLineChars="245"/>
        <w:rPr>
          <w:rFonts w:ascii="宋体" w:hAnsi="宋体"/>
          <w:bCs/>
          <w:sz w:val="24"/>
          <w:szCs w:val="24"/>
        </w:rPr>
      </w:pPr>
      <w:r>
        <w:rPr>
          <w:rFonts w:hint="eastAsia" w:ascii="宋体" w:hAnsi="宋体"/>
          <w:bCs/>
          <w:sz w:val="24"/>
          <w:szCs w:val="24"/>
        </w:rPr>
        <w:t>2、合同签定地点：</w:t>
      </w:r>
      <w:r>
        <w:rPr>
          <w:rFonts w:hint="eastAsia" w:ascii="宋体" w:hAnsi="宋体"/>
          <w:bCs/>
          <w:sz w:val="24"/>
          <w:szCs w:val="24"/>
          <w:lang w:eastAsia="zh-Hans"/>
        </w:rPr>
        <w:t>温州</w:t>
      </w:r>
      <w:r>
        <w:rPr>
          <w:rFonts w:hint="eastAsia" w:ascii="宋体" w:hAnsi="宋体"/>
          <w:bCs/>
          <w:sz w:val="24"/>
          <w:szCs w:val="24"/>
        </w:rPr>
        <w:t>平阳县。</w:t>
      </w:r>
    </w:p>
    <w:p>
      <w:pPr>
        <w:spacing w:line="560" w:lineRule="exact"/>
        <w:ind w:firstLine="588" w:firstLineChars="245"/>
        <w:rPr>
          <w:rFonts w:ascii="宋体" w:hAnsi="宋体"/>
          <w:bCs/>
          <w:sz w:val="24"/>
          <w:szCs w:val="24"/>
        </w:rPr>
      </w:pPr>
      <w:r>
        <w:rPr>
          <w:rFonts w:hint="eastAsia" w:ascii="宋体" w:hAnsi="宋体"/>
          <w:bCs/>
          <w:sz w:val="24"/>
          <w:szCs w:val="24"/>
        </w:rPr>
        <w:t>3、合同执行中，如需修改或补充合同内容，经协商，双方应签署书面修改或补充协议，但书面修改或补充协议不得背离本合同实质性内容。该协议将作为合同不可分割的一部分。</w:t>
      </w:r>
    </w:p>
    <w:p>
      <w:pPr>
        <w:spacing w:line="560" w:lineRule="exact"/>
        <w:ind w:firstLine="590" w:firstLineChars="245"/>
        <w:outlineLvl w:val="1"/>
        <w:rPr>
          <w:rFonts w:ascii="宋体" w:hAnsi="宋体"/>
          <w:b/>
          <w:sz w:val="24"/>
          <w:szCs w:val="24"/>
        </w:rPr>
      </w:pPr>
      <w:r>
        <w:rPr>
          <w:rFonts w:hint="eastAsia" w:ascii="宋体" w:hAnsi="宋体"/>
          <w:b/>
          <w:sz w:val="24"/>
          <w:szCs w:val="24"/>
        </w:rPr>
        <w:t>十六、其它</w:t>
      </w:r>
    </w:p>
    <w:p>
      <w:pPr>
        <w:spacing w:line="560" w:lineRule="exact"/>
        <w:ind w:firstLine="588" w:firstLineChars="245"/>
        <w:rPr>
          <w:rFonts w:ascii="宋体" w:hAnsi="宋体"/>
          <w:bCs/>
          <w:sz w:val="24"/>
          <w:szCs w:val="24"/>
        </w:rPr>
      </w:pPr>
      <w:r>
        <w:rPr>
          <w:rFonts w:hint="eastAsia" w:ascii="宋体" w:hAnsi="宋体"/>
          <w:bCs/>
          <w:sz w:val="24"/>
          <w:szCs w:val="24"/>
        </w:rPr>
        <w:t>1、招标文件与招标补充文件、投标文件及答疑纪要、承诺书、中标通知书、合同补充条款及说明等作为本合同的附件，与本合同具有同等法律效力。</w:t>
      </w:r>
    </w:p>
    <w:p>
      <w:pPr>
        <w:spacing w:line="560" w:lineRule="exact"/>
        <w:ind w:firstLine="588" w:firstLineChars="245"/>
        <w:rPr>
          <w:rFonts w:ascii="宋体" w:hAnsi="宋体"/>
          <w:sz w:val="24"/>
          <w:szCs w:val="24"/>
        </w:rPr>
      </w:pPr>
      <w:r>
        <w:rPr>
          <w:rFonts w:hint="eastAsia" w:ascii="宋体" w:hAnsi="宋体"/>
          <w:bCs/>
          <w:sz w:val="24"/>
          <w:szCs w:val="24"/>
        </w:rPr>
        <w:t>2、本合同一式五份，甲方执三份，乙方执一份，双方签字盖章后生效，违约及其处罚按经济合同法及本合同有关条款执行。</w:t>
      </w:r>
      <w:r>
        <w:rPr>
          <w:rFonts w:hint="eastAsia" w:ascii="宋体" w:hAnsi="宋体"/>
          <w:sz w:val="24"/>
          <w:szCs w:val="24"/>
        </w:rPr>
        <w:t>一份送招标代理公司备案</w:t>
      </w:r>
      <w:r>
        <w:rPr>
          <w:rFonts w:hint="eastAsia" w:ascii="宋体" w:hAnsi="宋体"/>
          <w:b/>
          <w:sz w:val="24"/>
          <w:szCs w:val="24"/>
        </w:rPr>
        <w:t>。</w:t>
      </w:r>
      <w:r>
        <w:rPr>
          <w:rFonts w:hint="eastAsia" w:ascii="宋体" w:hAnsi="宋体"/>
          <w:sz w:val="24"/>
          <w:szCs w:val="24"/>
        </w:rPr>
        <w:t>五份合同具备同等法律效力。</w:t>
      </w:r>
    </w:p>
    <w:p>
      <w:pPr>
        <w:spacing w:before="156" w:beforeLines="50" w:line="560" w:lineRule="exact"/>
        <w:ind w:firstLine="480" w:firstLineChars="200"/>
        <w:jc w:val="left"/>
        <w:rPr>
          <w:rFonts w:ascii="宋体" w:hAnsi="宋体" w:cs="宋体"/>
          <w:caps/>
          <w:sz w:val="24"/>
          <w:szCs w:val="24"/>
        </w:rPr>
      </w:pPr>
      <w:r>
        <w:rPr>
          <w:rFonts w:hint="eastAsia" w:ascii="宋体" w:hAnsi="宋体" w:cs="宋体"/>
          <w:caps/>
          <w:sz w:val="24"/>
          <w:szCs w:val="24"/>
        </w:rPr>
        <w:t>3、其它约定：未尽事宜以投标文件和承诺书为准。</w:t>
      </w:r>
    </w:p>
    <w:p>
      <w:pPr>
        <w:spacing w:line="560" w:lineRule="exact"/>
        <w:ind w:firstLine="480" w:firstLineChars="200"/>
        <w:rPr>
          <w:rFonts w:ascii="宋体" w:hAnsi="宋体"/>
          <w:bCs/>
          <w:sz w:val="24"/>
          <w:szCs w:val="24"/>
        </w:rPr>
      </w:pPr>
      <w:r>
        <w:rPr>
          <w:rFonts w:hint="eastAsia" w:ascii="宋体" w:hAnsi="宋体"/>
          <w:bCs/>
          <w:sz w:val="24"/>
          <w:szCs w:val="24"/>
        </w:rPr>
        <w:t>4、以上协议未尽之处，双方协商解决。</w:t>
      </w:r>
    </w:p>
    <w:p>
      <w:pPr>
        <w:spacing w:line="560" w:lineRule="exact"/>
        <w:ind w:firstLine="480" w:firstLineChars="200"/>
        <w:rPr>
          <w:rFonts w:ascii="宋体" w:hAnsi="宋体"/>
          <w:bCs/>
          <w:sz w:val="24"/>
          <w:szCs w:val="24"/>
        </w:rPr>
      </w:pPr>
    </w:p>
    <w:p>
      <w:pPr>
        <w:spacing w:line="560" w:lineRule="exact"/>
        <w:ind w:firstLine="480" w:firstLineChars="200"/>
        <w:rPr>
          <w:rFonts w:ascii="宋体" w:hAnsi="宋体" w:cs="新宋体"/>
          <w:bCs/>
          <w:sz w:val="24"/>
          <w:szCs w:val="24"/>
          <w:lang w:val="en-GB"/>
        </w:rPr>
      </w:pPr>
      <w:r>
        <w:rPr>
          <w:rFonts w:hint="eastAsia" w:ascii="宋体" w:hAnsi="宋体" w:cs="新宋体"/>
          <w:bCs/>
          <w:sz w:val="24"/>
          <w:szCs w:val="24"/>
          <w:lang w:val="en-GB"/>
        </w:rPr>
        <w:t xml:space="preserve">甲方：（盖章）             </w:t>
      </w:r>
      <w:r>
        <w:rPr>
          <w:rFonts w:hint="eastAsia" w:ascii="宋体" w:hAnsi="宋体" w:cs="新宋体"/>
          <w:bCs/>
          <w:sz w:val="24"/>
          <w:szCs w:val="24"/>
        </w:rPr>
        <w:t xml:space="preserve">       </w:t>
      </w:r>
      <w:r>
        <w:rPr>
          <w:rFonts w:hint="eastAsia" w:ascii="宋体" w:hAnsi="宋体" w:cs="新宋体"/>
          <w:bCs/>
          <w:sz w:val="24"/>
          <w:szCs w:val="24"/>
          <w:lang w:val="en-GB"/>
        </w:rPr>
        <w:t xml:space="preserve">  乙方：（盖章）</w:t>
      </w:r>
    </w:p>
    <w:p>
      <w:pPr>
        <w:spacing w:line="560" w:lineRule="exact"/>
        <w:ind w:firstLine="480" w:firstLineChars="200"/>
        <w:rPr>
          <w:rFonts w:ascii="宋体" w:hAnsi="宋体" w:cs="新宋体"/>
          <w:bCs/>
          <w:sz w:val="24"/>
          <w:szCs w:val="24"/>
          <w:lang w:val="en-GB"/>
        </w:rPr>
      </w:pPr>
      <w:r>
        <w:rPr>
          <w:rFonts w:hint="eastAsia" w:ascii="宋体" w:hAnsi="宋体" w:cs="新宋体"/>
          <w:bCs/>
          <w:sz w:val="24"/>
          <w:szCs w:val="24"/>
          <w:lang w:val="en-GB"/>
        </w:rPr>
        <w:t>授权代表：（签字）                  授权代表：（签字）</w:t>
      </w:r>
    </w:p>
    <w:p>
      <w:pPr>
        <w:spacing w:line="560" w:lineRule="exact"/>
        <w:ind w:firstLine="480" w:firstLineChars="200"/>
        <w:rPr>
          <w:rFonts w:ascii="宋体" w:hAnsi="宋体" w:cs="新宋体"/>
          <w:bCs/>
          <w:sz w:val="24"/>
          <w:szCs w:val="24"/>
          <w:lang w:val="en-GB"/>
        </w:rPr>
      </w:pPr>
      <w:r>
        <w:rPr>
          <w:rFonts w:hint="eastAsia" w:ascii="宋体" w:hAnsi="宋体" w:cs="新宋体"/>
          <w:bCs/>
          <w:sz w:val="24"/>
          <w:szCs w:val="24"/>
          <w:lang w:val="en-GB"/>
        </w:rPr>
        <w:t>地址：                             地址：</w:t>
      </w:r>
    </w:p>
    <w:p>
      <w:pPr>
        <w:spacing w:line="560" w:lineRule="exact"/>
        <w:ind w:firstLine="480" w:firstLineChars="200"/>
        <w:rPr>
          <w:rFonts w:ascii="宋体" w:hAnsi="宋体" w:cs="新宋体"/>
          <w:bCs/>
          <w:sz w:val="24"/>
          <w:szCs w:val="24"/>
          <w:lang w:val="en-GB"/>
        </w:rPr>
      </w:pPr>
      <w:r>
        <w:rPr>
          <w:rFonts w:hint="eastAsia" w:ascii="宋体" w:hAnsi="宋体" w:cs="新宋体"/>
          <w:bCs/>
          <w:sz w:val="24"/>
          <w:szCs w:val="24"/>
          <w:lang w:val="en-GB"/>
        </w:rPr>
        <w:t>邮政编码：                         邮政编码：</w:t>
      </w:r>
    </w:p>
    <w:p>
      <w:pPr>
        <w:spacing w:line="560" w:lineRule="exact"/>
        <w:ind w:firstLine="480" w:firstLineChars="200"/>
        <w:rPr>
          <w:rFonts w:ascii="宋体" w:hAnsi="宋体" w:cs="新宋体"/>
          <w:bCs/>
          <w:sz w:val="24"/>
          <w:szCs w:val="24"/>
          <w:lang w:val="en-GB"/>
        </w:rPr>
      </w:pPr>
      <w:r>
        <w:rPr>
          <w:rFonts w:hint="eastAsia" w:ascii="宋体" w:hAnsi="宋体" w:cs="新宋体"/>
          <w:bCs/>
          <w:sz w:val="24"/>
          <w:szCs w:val="24"/>
          <w:lang w:val="en-GB"/>
        </w:rPr>
        <w:t>电话：                             电话：</w:t>
      </w:r>
    </w:p>
    <w:p>
      <w:pPr>
        <w:spacing w:line="560" w:lineRule="exact"/>
        <w:ind w:firstLine="480" w:firstLineChars="200"/>
        <w:rPr>
          <w:rFonts w:ascii="宋体" w:hAnsi="宋体" w:cs="新宋体"/>
          <w:bCs/>
          <w:sz w:val="24"/>
          <w:szCs w:val="24"/>
          <w:lang w:val="en-GB"/>
        </w:rPr>
      </w:pPr>
      <w:r>
        <w:rPr>
          <w:rFonts w:hint="eastAsia" w:ascii="宋体" w:hAnsi="宋体" w:cs="新宋体"/>
          <w:bCs/>
          <w:sz w:val="24"/>
          <w:szCs w:val="24"/>
          <w:lang w:val="en-GB"/>
        </w:rPr>
        <w:t>传真：                             传真：</w:t>
      </w:r>
    </w:p>
    <w:p>
      <w:pPr>
        <w:spacing w:line="560" w:lineRule="exact"/>
        <w:ind w:firstLine="435"/>
        <w:rPr>
          <w:rFonts w:ascii="宋体" w:hAnsi="宋体"/>
          <w:sz w:val="28"/>
          <w:szCs w:val="28"/>
        </w:rPr>
      </w:pPr>
      <w:r>
        <w:rPr>
          <w:rFonts w:hint="eastAsia" w:ascii="宋体" w:hAnsi="宋体" w:cs="新宋体"/>
          <w:bCs/>
          <w:sz w:val="24"/>
          <w:szCs w:val="24"/>
          <w:lang w:val="en-GB"/>
        </w:rPr>
        <w:t>日期：                             日期：</w:t>
      </w:r>
    </w:p>
    <w:p>
      <w:pPr>
        <w:spacing w:line="360" w:lineRule="auto"/>
        <w:rPr>
          <w:rFonts w:ascii="宋体" w:hAnsi="宋体"/>
          <w:sz w:val="28"/>
          <w:szCs w:val="28"/>
        </w:rPr>
      </w:pPr>
      <w:r>
        <w:rPr>
          <w:rFonts w:ascii="宋体" w:hAnsi="宋体"/>
          <w:sz w:val="28"/>
          <w:szCs w:val="28"/>
        </w:rPr>
        <w:br w:type="page"/>
      </w:r>
    </w:p>
    <w:p>
      <w:pPr>
        <w:jc w:val="center"/>
        <w:rPr>
          <w:sz w:val="44"/>
          <w:szCs w:val="44"/>
        </w:rPr>
      </w:pPr>
      <w:r>
        <w:rPr>
          <w:rFonts w:hint="eastAsia"/>
          <w:sz w:val="44"/>
          <w:szCs w:val="44"/>
        </w:rPr>
        <w:t>医疗卫生机构医药产品廉洁购销合同</w:t>
      </w:r>
    </w:p>
    <w:p/>
    <w:p>
      <w:pPr>
        <w:spacing w:line="360" w:lineRule="auto"/>
      </w:pPr>
      <w:r>
        <w:rPr>
          <w:rFonts w:hint="eastAsia"/>
        </w:rPr>
        <w:t>甲方：平阳县人民医院</w:t>
      </w:r>
    </w:p>
    <w:p>
      <w:pPr>
        <w:spacing w:line="360" w:lineRule="auto"/>
      </w:pPr>
      <w:r>
        <w:rPr>
          <w:rFonts w:hint="eastAsia"/>
        </w:rPr>
        <w:t>乙方：</w:t>
      </w:r>
    </w:p>
    <w:p>
      <w:pPr>
        <w:spacing w:line="360" w:lineRule="auto"/>
        <w:ind w:left="-619" w:leftChars="-295" w:firstLine="420" w:firstLineChars="200"/>
      </w:pPr>
      <w:r>
        <w:rPr>
          <w:rFonts w:hint="eastAsia"/>
        </w:rPr>
        <w:t>为进一步加强医疗卫生行风建设，规范医疗卫生机构医药购销行为，有效防范商业贿赂行为，营造公平交易、诚实守信的购销环境，经甲、乙双方协商，同意签订本合同，并共同遵守：</w:t>
      </w:r>
    </w:p>
    <w:p>
      <w:pPr>
        <w:spacing w:line="360" w:lineRule="auto"/>
        <w:ind w:left="-619" w:leftChars="-295" w:firstLine="420" w:firstLineChars="200"/>
      </w:pPr>
      <w:r>
        <w:rPr>
          <w:rFonts w:hint="eastAsia"/>
        </w:rPr>
        <w:t>一、甲乙双方按照《民法典》及医药产品购销合同约定购销药品、医用设备、医用耗材等医药产品。</w:t>
      </w:r>
    </w:p>
    <w:p>
      <w:pPr>
        <w:spacing w:line="360" w:lineRule="auto"/>
        <w:ind w:left="-619" w:leftChars="-295" w:firstLine="420" w:firstLineChars="200"/>
      </w:pPr>
      <w:r>
        <w:rPr>
          <w:rFonts w:hint="eastAsia"/>
        </w:rPr>
        <w:t>二、甲方应当严格执行医药产品购销合同验收、入库制度，对采购医药产品及发票进行查验，不得违反有关规定合同外采购、违价采购或从非规定渠道采购。</w:t>
      </w:r>
    </w:p>
    <w:p>
      <w:pPr>
        <w:spacing w:line="360" w:lineRule="auto"/>
        <w:ind w:left="-619" w:leftChars="-295" w:firstLine="420" w:firstLineChars="200"/>
      </w:pPr>
      <w:r>
        <w:rPr>
          <w:rFonts w:hint="eastAsia"/>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动接受乙方给予的钱物，应予退还，无法退还的，有责任如实向有关纪检监察部门反映情况。</w:t>
      </w:r>
    </w:p>
    <w:p>
      <w:pPr>
        <w:spacing w:line="360" w:lineRule="auto"/>
        <w:ind w:left="-619" w:leftChars="-295" w:firstLine="420" w:firstLineChars="200"/>
      </w:pPr>
      <w:r>
        <w:rPr>
          <w:rFonts w:hint="eastAsia"/>
        </w:rPr>
        <w:t>四、严禁甲方工作人员利用任何途径和方式，为乙方统计医师个人及临床科室有关医药产品用量信息，或为乙方统计提供便利。</w:t>
      </w:r>
    </w:p>
    <w:p>
      <w:pPr>
        <w:spacing w:line="360" w:lineRule="auto"/>
        <w:ind w:left="-619" w:leftChars="-295" w:firstLine="420" w:firstLineChars="200"/>
      </w:pPr>
      <w:r>
        <w:rPr>
          <w:rFonts w:hint="eastAsia"/>
        </w:rPr>
        <w:t>五、乙方不得以回扣、宴请等方式影响甲方工作人员采购或使用医药产品的选择权，不得在学术活动中提供旅游、超标准支付食宿费用。</w:t>
      </w:r>
    </w:p>
    <w:p>
      <w:pPr>
        <w:spacing w:line="360" w:lineRule="auto"/>
        <w:ind w:left="-619" w:leftChars="-295" w:firstLine="420" w:firstLineChars="200"/>
      </w:pPr>
      <w:r>
        <w:rPr>
          <w:rFonts w:hint="eastAsia"/>
        </w:rPr>
        <w:t>六、乙方指定</w:t>
      </w:r>
      <w:r>
        <w:rPr>
          <w:rFonts w:hint="eastAsia"/>
          <w:u w:val="single"/>
        </w:rPr>
        <w:t xml:space="preserve">            </w:t>
      </w:r>
      <w:r>
        <w:rPr>
          <w:rFonts w:hint="eastAsia"/>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360" w:lineRule="auto"/>
        <w:ind w:left="-619" w:leftChars="-295" w:firstLine="420" w:firstLineChars="200"/>
      </w:pPr>
      <w:r>
        <w:rPr>
          <w:rFonts w:hint="eastAsia"/>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360" w:lineRule="auto"/>
        <w:ind w:left="-619" w:leftChars="-295" w:firstLine="420" w:firstLineChars="200"/>
      </w:pPr>
      <w:r>
        <w:rPr>
          <w:rFonts w:hint="eastAsia"/>
        </w:rPr>
        <w:t>八、本合同作为医药产品购销合同的重要组成部分，与购销合同一并执行，具有同等的法律效力。</w:t>
      </w:r>
    </w:p>
    <w:p>
      <w:pPr>
        <w:spacing w:line="360" w:lineRule="auto"/>
        <w:ind w:left="-619" w:leftChars="-295" w:firstLine="420" w:firstLineChars="200"/>
      </w:pPr>
      <w:r>
        <w:rPr>
          <w:rFonts w:hint="eastAsia"/>
        </w:rPr>
        <w:t>九、本合同一式三份，甲、乙双方各执一份，甲方纪检监察部门执一份，并从签订之日起生效。</w:t>
      </w:r>
    </w:p>
    <w:p>
      <w:pPr>
        <w:spacing w:line="360" w:lineRule="auto"/>
      </w:pPr>
    </w:p>
    <w:p>
      <w:pPr>
        <w:spacing w:line="360" w:lineRule="auto"/>
      </w:pPr>
      <w:r>
        <w:rPr>
          <w:rFonts w:hint="eastAsia"/>
        </w:rPr>
        <w:t>甲方（盖章）：                                  乙方（盖章）：</w:t>
      </w:r>
    </w:p>
    <w:p>
      <w:pPr>
        <w:spacing w:line="360" w:lineRule="auto"/>
      </w:pPr>
      <w:r>
        <w:rPr>
          <w:rFonts w:hint="eastAsia"/>
        </w:rPr>
        <w:t>法定代表人（负责人）：                          法定代表人（负责人）：</w:t>
      </w:r>
    </w:p>
    <w:p>
      <w:pPr>
        <w:spacing w:line="360" w:lineRule="auto"/>
      </w:pPr>
      <w:r>
        <w:rPr>
          <w:rFonts w:hint="eastAsia"/>
        </w:rPr>
        <w:t>经办人签名：                                    经办人签名：</w:t>
      </w:r>
    </w:p>
    <w:p>
      <w:pPr>
        <w:spacing w:line="360" w:lineRule="auto"/>
      </w:pPr>
      <w:r>
        <w:rPr>
          <w:rFonts w:hint="eastAsia"/>
        </w:rPr>
        <w:t>2024年   月   日                               2024年   月  日</w:t>
      </w:r>
    </w:p>
    <w:p>
      <w:pPr>
        <w:rPr>
          <w:rFonts w:ascii="仿宋_GB2312" w:hAnsi="宋体" w:eastAsia="仿宋_GB2312"/>
          <w:b/>
          <w:sz w:val="24"/>
        </w:rPr>
      </w:pPr>
      <w:r>
        <w:rPr>
          <w:rFonts w:ascii="仿宋_GB2312" w:hAnsi="宋体" w:eastAsia="仿宋_GB2312"/>
          <w:b/>
          <w:sz w:val="24"/>
        </w:rPr>
        <w:br w:type="page"/>
      </w:r>
    </w:p>
    <w:tbl>
      <w:tblPr>
        <w:tblStyle w:val="26"/>
        <w:tblW w:w="9923" w:type="dxa"/>
        <w:tblInd w:w="-318" w:type="dxa"/>
        <w:tblLayout w:type="fixed"/>
        <w:tblCellMar>
          <w:top w:w="0" w:type="dxa"/>
          <w:left w:w="108" w:type="dxa"/>
          <w:bottom w:w="0" w:type="dxa"/>
          <w:right w:w="108" w:type="dxa"/>
        </w:tblCellMar>
      </w:tblPr>
      <w:tblGrid>
        <w:gridCol w:w="1134"/>
        <w:gridCol w:w="710"/>
        <w:gridCol w:w="1559"/>
        <w:gridCol w:w="4536"/>
        <w:gridCol w:w="992"/>
        <w:gridCol w:w="992"/>
      </w:tblGrid>
      <w:tr>
        <w:tblPrEx>
          <w:tblCellMar>
            <w:top w:w="0" w:type="dxa"/>
            <w:left w:w="108" w:type="dxa"/>
            <w:bottom w:w="0" w:type="dxa"/>
            <w:right w:w="108" w:type="dxa"/>
          </w:tblCellMar>
        </w:tblPrEx>
        <w:trPr>
          <w:trHeight w:val="768" w:hRule="atLeast"/>
        </w:trPr>
        <w:tc>
          <w:tcPr>
            <w:tcW w:w="992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8"/>
                <w:szCs w:val="28"/>
              </w:rPr>
            </w:pPr>
            <w:r>
              <w:rPr>
                <w:rFonts w:ascii="宋体" w:hAnsi="宋体" w:cs="宋体"/>
                <w:sz w:val="24"/>
                <w:szCs w:val="24"/>
              </w:rPr>
              <w:br w:type="page"/>
            </w:r>
            <w:r>
              <w:rPr>
                <w:rFonts w:hint="eastAsia" w:ascii="宋体" w:hAnsi="宋体" w:cs="宋体"/>
                <w:b/>
                <w:bCs/>
                <w:color w:val="000000"/>
                <w:kern w:val="0"/>
                <w:sz w:val="28"/>
                <w:szCs w:val="28"/>
              </w:rPr>
              <w:t>*****年度平阳县人民医院中药配方颗粒项目中标企业年度考核</w:t>
            </w:r>
          </w:p>
        </w:tc>
      </w:tr>
      <w:tr>
        <w:tblPrEx>
          <w:tblCellMar>
            <w:top w:w="0" w:type="dxa"/>
            <w:left w:w="108" w:type="dxa"/>
            <w:bottom w:w="0" w:type="dxa"/>
            <w:right w:w="108" w:type="dxa"/>
          </w:tblCellMar>
        </w:tblPrEx>
        <w:trPr>
          <w:trHeight w:val="1764" w:hRule="atLeast"/>
        </w:trPr>
        <w:tc>
          <w:tcPr>
            <w:tcW w:w="9923"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宋体" w:hAnsi="宋体" w:cs="宋体"/>
                <w:color w:val="000000"/>
                <w:kern w:val="0"/>
                <w:sz w:val="22"/>
              </w:rPr>
            </w:pPr>
            <w:r>
              <w:rPr>
                <w:rFonts w:hint="eastAsia" w:ascii="宋体" w:hAnsi="宋体" w:cs="宋体"/>
                <w:color w:val="000000"/>
                <w:kern w:val="0"/>
                <w:sz w:val="22"/>
              </w:rPr>
              <w:t>考核说明：</w:t>
            </w:r>
            <w:r>
              <w:rPr>
                <w:rFonts w:hint="eastAsia" w:ascii="宋体" w:hAnsi="宋体" w:cs="宋体"/>
                <w:color w:val="000000"/>
                <w:kern w:val="0"/>
                <w:sz w:val="22"/>
              </w:rPr>
              <w:br w:type="textWrapping"/>
            </w:r>
            <w:r>
              <w:rPr>
                <w:rFonts w:hint="eastAsia" w:ascii="宋体" w:hAnsi="宋体" w:cs="宋体"/>
                <w:color w:val="000000"/>
                <w:kern w:val="0"/>
                <w:sz w:val="22"/>
              </w:rPr>
              <w:t>1、平阳县人民医院对中药配方颗粒中标企业每个合同周期内的履约情况进行考核评分，评分85分以上可进行续约，满分100分；</w:t>
            </w:r>
            <w:r>
              <w:rPr>
                <w:rFonts w:hint="eastAsia" w:ascii="宋体" w:hAnsi="宋体" w:cs="宋体"/>
                <w:color w:val="000000"/>
                <w:kern w:val="0"/>
                <w:sz w:val="22"/>
              </w:rPr>
              <w:br w:type="textWrapping"/>
            </w:r>
            <w:r>
              <w:rPr>
                <w:rFonts w:hint="eastAsia" w:ascii="宋体" w:hAnsi="宋体" w:cs="宋体"/>
                <w:color w:val="000000"/>
                <w:kern w:val="0"/>
                <w:sz w:val="22"/>
              </w:rPr>
              <w:t>2、当中标企业履约出现与招标文件、合同、承诺书等内容相违背情形，平阳县人民医院依据上述材料（招标文件、合同、承诺书等）规定可有权终止合同的，本考核也即视为考核不通过。</w:t>
            </w:r>
            <w:r>
              <w:rPr>
                <w:rFonts w:hint="eastAsia" w:ascii="宋体" w:hAnsi="宋体" w:cs="宋体"/>
                <w:color w:val="000000"/>
                <w:kern w:val="0"/>
                <w:sz w:val="22"/>
              </w:rPr>
              <w:br w:type="textWrapping"/>
            </w:r>
            <w:r>
              <w:rPr>
                <w:rFonts w:hint="eastAsia" w:ascii="宋体" w:hAnsi="宋体" w:cs="宋体"/>
                <w:color w:val="000000"/>
                <w:kern w:val="0"/>
                <w:sz w:val="22"/>
              </w:rPr>
              <w:t>3、考核由平阳县人民医院药剂科记录并上报医院相关部门及领导，具体以平阳县人民医院药品管理职能划分为准。</w:t>
            </w:r>
          </w:p>
        </w:tc>
      </w:tr>
      <w:tr>
        <w:tblPrEx>
          <w:tblCellMar>
            <w:top w:w="0" w:type="dxa"/>
            <w:left w:w="108" w:type="dxa"/>
            <w:bottom w:w="0" w:type="dxa"/>
            <w:right w:w="108" w:type="dxa"/>
          </w:tblCellMar>
        </w:tblPrEx>
        <w:trPr>
          <w:trHeight w:val="840" w:hRule="atLeast"/>
        </w:trPr>
        <w:tc>
          <w:tcPr>
            <w:tcW w:w="9923"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xml:space="preserve">考核对象：                                                   考核时间：    年   月   日        </w:t>
            </w:r>
          </w:p>
        </w:tc>
      </w:tr>
      <w:tr>
        <w:tblPrEx>
          <w:tblCellMar>
            <w:top w:w="0" w:type="dxa"/>
            <w:left w:w="108" w:type="dxa"/>
            <w:bottom w:w="0" w:type="dxa"/>
            <w:right w:w="108" w:type="dxa"/>
          </w:tblCellMar>
        </w:tblPrEx>
        <w:trPr>
          <w:trHeight w:val="468"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类型</w:t>
            </w:r>
          </w:p>
        </w:tc>
        <w:tc>
          <w:tcPr>
            <w:tcW w:w="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序号</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考核内容</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考核标准</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扣分</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备注</w:t>
            </w:r>
          </w:p>
        </w:tc>
      </w:tr>
      <w:tr>
        <w:tblPrEx>
          <w:tblCellMar>
            <w:top w:w="0" w:type="dxa"/>
            <w:left w:w="108" w:type="dxa"/>
            <w:bottom w:w="0" w:type="dxa"/>
            <w:right w:w="108" w:type="dxa"/>
          </w:tblCellMar>
        </w:tblPrEx>
        <w:trPr>
          <w:trHeight w:val="968"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药品配送及验收情况</w:t>
            </w:r>
          </w:p>
          <w:p>
            <w:pPr>
              <w:widowControl/>
              <w:jc w:val="center"/>
              <w:rPr>
                <w:rFonts w:ascii="宋体" w:hAnsi="宋体" w:cs="宋体"/>
                <w:color w:val="000000"/>
                <w:kern w:val="0"/>
                <w:sz w:val="22"/>
              </w:rPr>
            </w:pPr>
            <w:r>
              <w:rPr>
                <w:rFonts w:hint="eastAsia" w:ascii="宋体" w:hAnsi="宋体" w:cs="宋体"/>
                <w:color w:val="000000"/>
                <w:kern w:val="0"/>
                <w:sz w:val="22"/>
              </w:rPr>
              <w:t>（40分）</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配送及时性</w:t>
            </w:r>
          </w:p>
          <w:p>
            <w:pPr>
              <w:widowControl/>
              <w:jc w:val="center"/>
              <w:rPr>
                <w:rFonts w:ascii="宋体" w:hAnsi="宋体" w:cs="宋体"/>
                <w:color w:val="000000"/>
                <w:kern w:val="0"/>
                <w:sz w:val="22"/>
              </w:rPr>
            </w:pPr>
            <w:r>
              <w:rPr>
                <w:rFonts w:hint="eastAsia" w:ascii="宋体" w:hAnsi="宋体" w:cs="宋体"/>
                <w:color w:val="000000"/>
                <w:kern w:val="0"/>
                <w:sz w:val="22"/>
              </w:rPr>
              <w:t>（20分）</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常规配送应在订单发出后48小时内配送到位，每出现一次配送不及时扣2分。</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982" w:hRule="atLeast"/>
        </w:trPr>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缺货沟通及时性</w:t>
            </w:r>
          </w:p>
          <w:p>
            <w:pPr>
              <w:widowControl/>
              <w:jc w:val="center"/>
              <w:rPr>
                <w:rFonts w:ascii="宋体" w:hAnsi="宋体" w:cs="宋体"/>
                <w:color w:val="000000"/>
                <w:kern w:val="0"/>
                <w:sz w:val="22"/>
              </w:rPr>
            </w:pPr>
            <w:r>
              <w:rPr>
                <w:rFonts w:hint="eastAsia" w:ascii="宋体" w:hAnsi="宋体" w:cs="宋体"/>
                <w:color w:val="000000"/>
                <w:kern w:val="0"/>
                <w:sz w:val="22"/>
              </w:rPr>
              <w:t>（10分）</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药品出现临时缺货时应在订单发出后2小时内提前沟通报备，并在15天内配送缺货药品到位。每出现一次不达标情况扣0.5分。</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981" w:hRule="atLeast"/>
        </w:trPr>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3</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药品效期</w:t>
            </w:r>
          </w:p>
          <w:p>
            <w:pPr>
              <w:widowControl/>
              <w:jc w:val="center"/>
              <w:rPr>
                <w:rFonts w:ascii="宋体" w:hAnsi="宋体" w:cs="宋体"/>
                <w:color w:val="000000"/>
                <w:kern w:val="0"/>
                <w:sz w:val="22"/>
              </w:rPr>
            </w:pPr>
            <w:r>
              <w:rPr>
                <w:rFonts w:hint="eastAsia" w:ascii="宋体" w:hAnsi="宋体" w:cs="宋体"/>
                <w:color w:val="000000"/>
                <w:kern w:val="0"/>
                <w:sz w:val="22"/>
              </w:rPr>
              <w:t>（10分）</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所供应的中药配方颗粒到货入库的剩余有效期不少于2年，每出现一次效期不足扣1分。</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888" w:hRule="atLeast"/>
        </w:trPr>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售后保障服务</w:t>
            </w:r>
          </w:p>
          <w:p>
            <w:pPr>
              <w:widowControl/>
              <w:jc w:val="center"/>
              <w:rPr>
                <w:rFonts w:ascii="宋体" w:hAnsi="宋体" w:cs="宋体"/>
                <w:color w:val="000000"/>
                <w:kern w:val="0"/>
                <w:sz w:val="22"/>
              </w:rPr>
            </w:pPr>
            <w:r>
              <w:rPr>
                <w:rFonts w:hint="eastAsia" w:ascii="宋体" w:hAnsi="宋体" w:cs="宋体"/>
                <w:color w:val="000000"/>
                <w:kern w:val="0"/>
                <w:sz w:val="22"/>
              </w:rPr>
              <w:t>（30分）</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4</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退换货及时性</w:t>
            </w:r>
          </w:p>
          <w:p>
            <w:pPr>
              <w:widowControl/>
              <w:jc w:val="center"/>
              <w:rPr>
                <w:rFonts w:ascii="宋体" w:hAnsi="宋体" w:cs="宋体"/>
                <w:color w:val="000000"/>
                <w:kern w:val="0"/>
                <w:sz w:val="22"/>
              </w:rPr>
            </w:pPr>
            <w:r>
              <w:rPr>
                <w:rFonts w:hint="eastAsia" w:ascii="宋体" w:hAnsi="宋体" w:cs="宋体"/>
                <w:color w:val="000000"/>
                <w:kern w:val="0"/>
                <w:sz w:val="22"/>
              </w:rPr>
              <w:t>（5分）</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药品退换货及相关票据处理是否严格按照招标文件及承诺内容执行，每出现一次不达标情况扣1分。</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rPr>
          <w:trHeight w:val="888" w:hRule="atLeast"/>
        </w:trPr>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5</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故障处理</w:t>
            </w:r>
          </w:p>
          <w:p>
            <w:pPr>
              <w:widowControl/>
              <w:jc w:val="center"/>
              <w:rPr>
                <w:rFonts w:ascii="宋体" w:hAnsi="宋体" w:cs="宋体"/>
                <w:color w:val="000000"/>
                <w:kern w:val="0"/>
                <w:sz w:val="22"/>
              </w:rPr>
            </w:pPr>
            <w:r>
              <w:rPr>
                <w:rFonts w:hint="eastAsia" w:ascii="宋体" w:hAnsi="宋体" w:cs="宋体"/>
                <w:color w:val="000000"/>
                <w:kern w:val="0"/>
                <w:sz w:val="22"/>
              </w:rPr>
              <w:t>（15分）</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调配机出现故障应及时到现场维修，并在6小时内维护修复。每出现一次不达要求的情况扣5分。</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888" w:hRule="atLeast"/>
        </w:trPr>
        <w:tc>
          <w:tcPr>
            <w:tcW w:w="113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rPr>
            </w:pP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6</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投诉处理</w:t>
            </w:r>
          </w:p>
          <w:p>
            <w:pPr>
              <w:widowControl/>
              <w:jc w:val="center"/>
              <w:rPr>
                <w:rFonts w:ascii="宋体" w:hAnsi="宋体" w:cs="宋体"/>
                <w:color w:val="000000"/>
                <w:kern w:val="0"/>
                <w:sz w:val="22"/>
              </w:rPr>
            </w:pPr>
            <w:r>
              <w:rPr>
                <w:rFonts w:hint="eastAsia" w:ascii="宋体" w:hAnsi="宋体" w:cs="宋体"/>
                <w:color w:val="000000"/>
                <w:kern w:val="0"/>
                <w:sz w:val="22"/>
              </w:rPr>
              <w:t>（10分）</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投诉的响应及处理是否严格按照招标文件及承诺内容执行，每出现一次不达标情况扣2.5分。</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812" w:hRule="atLeast"/>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药品质量</w:t>
            </w:r>
          </w:p>
          <w:p>
            <w:pPr>
              <w:widowControl/>
              <w:jc w:val="center"/>
              <w:rPr>
                <w:rFonts w:ascii="宋体" w:hAnsi="宋体" w:cs="宋体"/>
                <w:color w:val="000000"/>
                <w:kern w:val="0"/>
                <w:sz w:val="22"/>
              </w:rPr>
            </w:pPr>
            <w:r>
              <w:rPr>
                <w:rFonts w:hint="eastAsia" w:ascii="宋体" w:hAnsi="宋体" w:cs="宋体"/>
                <w:color w:val="000000"/>
                <w:kern w:val="0"/>
                <w:sz w:val="22"/>
              </w:rPr>
              <w:t>（20分）</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7</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药品质量</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是否出现因药品质量问题导致的不良反应等情形，每次扣5分。</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1017" w:hRule="atLeast"/>
        </w:trPr>
        <w:tc>
          <w:tcPr>
            <w:tcW w:w="113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其他</w:t>
            </w:r>
          </w:p>
          <w:p>
            <w:pPr>
              <w:widowControl/>
              <w:jc w:val="center"/>
              <w:rPr>
                <w:rFonts w:ascii="宋体" w:hAnsi="宋体" w:cs="宋体"/>
                <w:color w:val="000000"/>
                <w:kern w:val="0"/>
                <w:sz w:val="22"/>
              </w:rPr>
            </w:pPr>
            <w:r>
              <w:rPr>
                <w:rFonts w:hint="eastAsia" w:ascii="宋体" w:hAnsi="宋体" w:cs="宋体"/>
                <w:color w:val="000000"/>
                <w:kern w:val="0"/>
                <w:sz w:val="22"/>
              </w:rPr>
              <w:t>（10分）</w:t>
            </w:r>
          </w:p>
        </w:tc>
        <w:tc>
          <w:tcPr>
            <w:tcW w:w="7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8</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其他</w:t>
            </w:r>
          </w:p>
        </w:tc>
        <w:tc>
          <w:tcPr>
            <w:tcW w:w="45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是否存在其他影响医院业务正常运行的其他情形,视严重程度进行扣分。</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939" w:hRule="atLeast"/>
        </w:trPr>
        <w:tc>
          <w:tcPr>
            <w:tcW w:w="340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经考核，平阳县人民医院中药配方颗粒项目中标企业**********，****年考核评分为*****。</w:t>
            </w:r>
          </w:p>
        </w:tc>
        <w:tc>
          <w:tcPr>
            <w:tcW w:w="652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考核结果为□通过，根据本项目招标文件规定给予中标企业**********续约资格。</w:t>
            </w:r>
          </w:p>
        </w:tc>
      </w:tr>
      <w:tr>
        <w:tblPrEx>
          <w:tblCellMar>
            <w:top w:w="0" w:type="dxa"/>
            <w:left w:w="108" w:type="dxa"/>
            <w:bottom w:w="0" w:type="dxa"/>
            <w:right w:w="108" w:type="dxa"/>
          </w:tblCellMar>
        </w:tblPrEx>
        <w:trPr>
          <w:trHeight w:val="1136" w:hRule="atLeast"/>
        </w:trPr>
        <w:tc>
          <w:tcPr>
            <w:tcW w:w="340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2"/>
              </w:rPr>
            </w:pPr>
          </w:p>
        </w:tc>
        <w:tc>
          <w:tcPr>
            <w:tcW w:w="65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考核结果为□不通过，根据本项目招标文件规定不再给予中标企业**********续约资格，后续按照_______________________________________情况处理。</w:t>
            </w:r>
          </w:p>
        </w:tc>
      </w:tr>
    </w:tbl>
    <w:p>
      <w:pPr>
        <w:rPr>
          <w:rFonts w:ascii="仿宋_GB2312" w:hAnsi="宋体" w:eastAsia="仿宋_GB2312"/>
          <w:b/>
          <w:sz w:val="24"/>
        </w:rPr>
      </w:pPr>
    </w:p>
    <w:p>
      <w:pPr>
        <w:pStyle w:val="2"/>
        <w:jc w:val="center"/>
        <w:rPr>
          <w:sz w:val="32"/>
          <w:szCs w:val="32"/>
        </w:rPr>
      </w:pPr>
      <w:r>
        <w:rPr>
          <w:rFonts w:hint="eastAsia"/>
          <w:sz w:val="32"/>
          <w:szCs w:val="32"/>
        </w:rPr>
        <w:t>第七部分  投标文件及其附表格式</w:t>
      </w:r>
    </w:p>
    <w:p>
      <w:pPr>
        <w:ind w:firstLine="482" w:firstLineChars="150"/>
        <w:jc w:val="center"/>
        <w:rPr>
          <w:rFonts w:ascii="仿宋_GB2312" w:hAnsi="宋体" w:eastAsia="仿宋_GB2312"/>
          <w:b/>
          <w:sz w:val="32"/>
          <w:szCs w:val="32"/>
        </w:rPr>
      </w:pPr>
    </w:p>
    <w:p>
      <w:pPr>
        <w:snapToGrid w:val="0"/>
        <w:spacing w:before="156" w:beforeLines="50" w:after="50" w:line="360" w:lineRule="auto"/>
        <w:outlineLvl w:val="1"/>
        <w:rPr>
          <w:b/>
          <w:bCs/>
          <w:sz w:val="24"/>
          <w:szCs w:val="20"/>
        </w:rPr>
      </w:pPr>
      <w:bookmarkStart w:id="1" w:name="_Toc497329998"/>
      <w:bookmarkStart w:id="2" w:name="_Toc504397434"/>
      <w:r>
        <w:rPr>
          <w:b/>
          <w:sz w:val="24"/>
        </w:rPr>
        <w:t>资格证明文件/技术标文件/</w:t>
      </w:r>
      <w:r>
        <w:rPr>
          <w:rFonts w:hint="eastAsia"/>
          <w:b/>
          <w:sz w:val="24"/>
        </w:rPr>
        <w:t>报价</w:t>
      </w:r>
      <w:r>
        <w:rPr>
          <w:b/>
          <w:bCs/>
          <w:sz w:val="24"/>
        </w:rPr>
        <w:t>文件外包装封面格式</w:t>
      </w:r>
      <w:bookmarkEnd w:id="1"/>
      <w:bookmarkEnd w:id="2"/>
    </w:p>
    <w:p>
      <w:pPr>
        <w:snapToGrid w:val="0"/>
        <w:spacing w:before="156" w:beforeLines="50" w:after="50" w:line="360" w:lineRule="auto"/>
        <w:rPr>
          <w:bCs/>
          <w:sz w:val="24"/>
          <w:szCs w:val="20"/>
        </w:rPr>
      </w:pPr>
    </w:p>
    <w:p>
      <w:pPr>
        <w:snapToGrid w:val="0"/>
        <w:spacing w:before="156" w:beforeLines="50" w:after="50" w:line="360" w:lineRule="auto"/>
        <w:jc w:val="center"/>
        <w:rPr>
          <w:rFonts w:ascii="方正小标宋简体" w:eastAsia="方正小标宋简体"/>
          <w:bCs/>
          <w:sz w:val="32"/>
          <w:szCs w:val="32"/>
        </w:rPr>
      </w:pPr>
      <w:r>
        <w:rPr>
          <w:rFonts w:hint="eastAsia" w:eastAsia="仿宋_GB2312"/>
          <w:b/>
          <w:kern w:val="44"/>
          <w:sz w:val="32"/>
          <w:szCs w:val="32"/>
        </w:rPr>
        <w:t>资格证明文件/技术标文件/报价文件</w:t>
      </w:r>
    </w:p>
    <w:p>
      <w:pPr>
        <w:snapToGrid w:val="0"/>
        <w:spacing w:before="156" w:beforeLines="50" w:after="50" w:line="360" w:lineRule="auto"/>
        <w:rPr>
          <w:bCs/>
          <w:sz w:val="24"/>
          <w:szCs w:val="20"/>
        </w:rPr>
      </w:pPr>
    </w:p>
    <w:p>
      <w:pPr>
        <w:snapToGrid w:val="0"/>
        <w:spacing w:before="156" w:beforeLines="50" w:after="50" w:line="360" w:lineRule="auto"/>
        <w:ind w:firstLine="1068" w:firstLineChars="445"/>
        <w:rPr>
          <w:bCs/>
          <w:sz w:val="24"/>
          <w:szCs w:val="24"/>
        </w:rPr>
      </w:pPr>
      <w:r>
        <w:rPr>
          <w:bCs/>
          <w:sz w:val="24"/>
          <w:szCs w:val="24"/>
        </w:rPr>
        <w:t>项目名称：</w:t>
      </w:r>
    </w:p>
    <w:p>
      <w:pPr>
        <w:snapToGrid w:val="0"/>
        <w:spacing w:before="156" w:beforeLines="50" w:after="50" w:line="360" w:lineRule="auto"/>
        <w:ind w:firstLine="1068" w:firstLineChars="445"/>
        <w:rPr>
          <w:bCs/>
          <w:sz w:val="24"/>
          <w:szCs w:val="24"/>
        </w:rPr>
      </w:pPr>
      <w:r>
        <w:rPr>
          <w:bCs/>
          <w:sz w:val="24"/>
          <w:szCs w:val="24"/>
        </w:rPr>
        <w:t>项目编号：</w:t>
      </w:r>
    </w:p>
    <w:p>
      <w:pPr>
        <w:snapToGrid w:val="0"/>
        <w:spacing w:before="156" w:beforeLines="50" w:after="50" w:line="360" w:lineRule="auto"/>
        <w:ind w:firstLine="1068" w:firstLineChars="445"/>
        <w:rPr>
          <w:bCs/>
          <w:sz w:val="24"/>
          <w:szCs w:val="24"/>
        </w:rPr>
      </w:pPr>
      <w:r>
        <w:rPr>
          <w:bCs/>
          <w:sz w:val="24"/>
          <w:szCs w:val="24"/>
        </w:rPr>
        <w:t>采购单位：</w:t>
      </w:r>
    </w:p>
    <w:p>
      <w:pPr>
        <w:snapToGrid w:val="0"/>
        <w:spacing w:before="156" w:beforeLines="50" w:after="50" w:line="360" w:lineRule="auto"/>
        <w:ind w:firstLine="1068" w:firstLineChars="445"/>
        <w:rPr>
          <w:bCs/>
          <w:sz w:val="24"/>
          <w:szCs w:val="24"/>
        </w:rPr>
      </w:pPr>
      <w:r>
        <w:rPr>
          <w:bCs/>
          <w:sz w:val="24"/>
          <w:szCs w:val="24"/>
        </w:rPr>
        <w:t>代理机构：</w:t>
      </w:r>
    </w:p>
    <w:p>
      <w:pPr>
        <w:pStyle w:val="7"/>
        <w:snapToGrid w:val="0"/>
        <w:spacing w:before="50" w:after="50" w:line="360" w:lineRule="auto"/>
        <w:ind w:firstLine="1080" w:firstLineChars="450"/>
        <w:rPr>
          <w:bCs/>
          <w:sz w:val="24"/>
        </w:rPr>
      </w:pPr>
    </w:p>
    <w:p>
      <w:pPr>
        <w:pStyle w:val="7"/>
        <w:snapToGrid w:val="0"/>
        <w:spacing w:before="50" w:after="50" w:line="360" w:lineRule="auto"/>
        <w:ind w:firstLine="1080" w:firstLineChars="450"/>
        <w:rPr>
          <w:bCs/>
          <w:sz w:val="24"/>
        </w:rPr>
      </w:pPr>
    </w:p>
    <w:p>
      <w:pPr>
        <w:pStyle w:val="7"/>
        <w:snapToGrid w:val="0"/>
        <w:spacing w:before="50" w:after="50" w:line="360" w:lineRule="auto"/>
        <w:ind w:firstLine="1080" w:firstLineChars="450"/>
        <w:rPr>
          <w:bCs/>
          <w:sz w:val="24"/>
        </w:rPr>
      </w:pPr>
    </w:p>
    <w:p>
      <w:pPr>
        <w:pStyle w:val="7"/>
        <w:snapToGrid w:val="0"/>
        <w:spacing w:before="50" w:after="50" w:line="360" w:lineRule="auto"/>
        <w:ind w:firstLine="1080" w:firstLineChars="450"/>
        <w:rPr>
          <w:bCs/>
          <w:sz w:val="24"/>
        </w:rPr>
      </w:pPr>
      <w:r>
        <w:rPr>
          <w:bCs/>
          <w:sz w:val="24"/>
        </w:rPr>
        <w:t>投标人名称：</w:t>
      </w:r>
    </w:p>
    <w:p>
      <w:pPr>
        <w:pStyle w:val="7"/>
        <w:tabs>
          <w:tab w:val="left" w:pos="4215"/>
        </w:tabs>
        <w:snapToGrid w:val="0"/>
        <w:spacing w:before="50" w:after="50" w:line="360" w:lineRule="auto"/>
        <w:ind w:firstLine="1080" w:firstLineChars="450"/>
        <w:rPr>
          <w:bCs/>
          <w:sz w:val="24"/>
        </w:rPr>
      </w:pPr>
      <w:r>
        <w:rPr>
          <w:bCs/>
          <w:sz w:val="24"/>
        </w:rPr>
        <w:t>投标人地址：</w:t>
      </w:r>
      <w:r>
        <w:rPr>
          <w:bCs/>
          <w:sz w:val="24"/>
        </w:rPr>
        <w:tab/>
      </w:r>
    </w:p>
    <w:p>
      <w:pPr>
        <w:pStyle w:val="7"/>
        <w:snapToGrid w:val="0"/>
        <w:spacing w:before="50" w:after="50" w:line="360" w:lineRule="auto"/>
        <w:ind w:firstLine="1080" w:firstLineChars="450"/>
        <w:rPr>
          <w:bCs/>
          <w:sz w:val="24"/>
        </w:rPr>
      </w:pPr>
      <w:r>
        <w:rPr>
          <w:bCs/>
          <w:sz w:val="24"/>
        </w:rPr>
        <w:t>在  年  月  日  时  分之前不得启封</w:t>
      </w:r>
    </w:p>
    <w:p>
      <w:pPr>
        <w:pStyle w:val="7"/>
        <w:snapToGrid w:val="0"/>
        <w:spacing w:before="50" w:after="50" w:line="360" w:lineRule="auto"/>
        <w:ind w:firstLine="998" w:firstLineChars="416"/>
        <w:rPr>
          <w:sz w:val="24"/>
        </w:rPr>
      </w:pPr>
    </w:p>
    <w:p>
      <w:pPr>
        <w:snapToGrid w:val="0"/>
        <w:spacing w:before="156" w:beforeLines="50" w:after="50" w:line="360" w:lineRule="auto"/>
        <w:ind w:firstLine="645"/>
        <w:rPr>
          <w:sz w:val="28"/>
          <w:szCs w:val="28"/>
        </w:rPr>
      </w:pPr>
      <w:r>
        <w:rPr>
          <w:sz w:val="24"/>
          <w:szCs w:val="24"/>
        </w:rPr>
        <w:t xml:space="preserve">                        年  月  日</w:t>
      </w:r>
    </w:p>
    <w:p>
      <w:pPr>
        <w:snapToGrid w:val="0"/>
        <w:spacing w:before="156" w:beforeLines="50" w:after="50" w:line="360" w:lineRule="auto"/>
        <w:ind w:firstLine="645"/>
        <w:rPr>
          <w:sz w:val="28"/>
          <w:szCs w:val="28"/>
        </w:rPr>
      </w:pPr>
    </w:p>
    <w:p>
      <w:pPr>
        <w:snapToGrid w:val="0"/>
        <w:spacing w:before="156" w:beforeLines="50" w:after="50" w:line="360" w:lineRule="auto"/>
        <w:ind w:firstLine="645"/>
        <w:rPr>
          <w:sz w:val="28"/>
          <w:szCs w:val="28"/>
        </w:rPr>
      </w:pPr>
    </w:p>
    <w:p>
      <w:pPr>
        <w:snapToGrid w:val="0"/>
        <w:spacing w:before="156" w:beforeLines="50" w:after="50" w:line="360" w:lineRule="auto"/>
        <w:ind w:firstLine="645"/>
        <w:rPr>
          <w:sz w:val="28"/>
          <w:szCs w:val="28"/>
        </w:rPr>
      </w:pPr>
    </w:p>
    <w:p>
      <w:pPr>
        <w:snapToGrid w:val="0"/>
        <w:spacing w:before="156" w:beforeLines="50" w:after="50" w:line="360" w:lineRule="auto"/>
        <w:ind w:firstLine="645"/>
        <w:rPr>
          <w:sz w:val="28"/>
          <w:szCs w:val="28"/>
        </w:rPr>
      </w:pPr>
    </w:p>
    <w:p>
      <w:pPr>
        <w:snapToGrid w:val="0"/>
        <w:spacing w:before="156" w:beforeLines="50" w:after="50" w:line="360" w:lineRule="auto"/>
        <w:ind w:firstLine="645"/>
        <w:rPr>
          <w:sz w:val="28"/>
          <w:szCs w:val="28"/>
        </w:rPr>
      </w:pPr>
    </w:p>
    <w:p>
      <w:pPr>
        <w:snapToGrid w:val="0"/>
        <w:spacing w:before="156" w:beforeLines="50" w:after="50" w:line="360" w:lineRule="auto"/>
        <w:outlineLvl w:val="1"/>
        <w:rPr>
          <w:b/>
          <w:sz w:val="24"/>
          <w:szCs w:val="20"/>
        </w:rPr>
      </w:pPr>
      <w:bookmarkStart w:id="3" w:name="_Toc504397435"/>
      <w:bookmarkStart w:id="4" w:name="_Toc497329999"/>
      <w:r>
        <w:rPr>
          <w:b/>
          <w:sz w:val="24"/>
        </w:rPr>
        <w:t>资格证明文件/技术标文件/</w:t>
      </w:r>
      <w:r>
        <w:rPr>
          <w:rFonts w:hint="eastAsia"/>
          <w:b/>
          <w:sz w:val="24"/>
        </w:rPr>
        <w:t>报价</w:t>
      </w:r>
      <w:r>
        <w:rPr>
          <w:b/>
          <w:bCs/>
          <w:sz w:val="24"/>
        </w:rPr>
        <w:t>文件</w:t>
      </w:r>
      <w:r>
        <w:rPr>
          <w:b/>
          <w:sz w:val="24"/>
        </w:rPr>
        <w:t>封面格式</w:t>
      </w:r>
      <w:bookmarkEnd w:id="3"/>
      <w:bookmarkEnd w:id="4"/>
      <w:r>
        <w:rPr>
          <w:b/>
          <w:sz w:val="24"/>
        </w:rPr>
        <w:t xml:space="preserve"> </w:t>
      </w:r>
    </w:p>
    <w:p>
      <w:pPr>
        <w:snapToGrid w:val="0"/>
        <w:spacing w:before="156" w:beforeLines="50" w:after="50" w:line="360" w:lineRule="auto"/>
        <w:rPr>
          <w:b/>
          <w:bCs/>
          <w:sz w:val="32"/>
          <w:szCs w:val="20"/>
        </w:rPr>
      </w:pPr>
      <w:r>
        <w:rPr>
          <w:sz w:val="24"/>
        </w:rPr>
        <w:t xml:space="preserve">                                                    </w:t>
      </w:r>
      <w:r>
        <w:rPr>
          <w:b/>
          <w:bCs/>
        </w:rPr>
        <w:t>正本/副本</w:t>
      </w:r>
    </w:p>
    <w:p>
      <w:pPr>
        <w:snapToGrid w:val="0"/>
        <w:spacing w:before="156" w:beforeLines="50" w:after="50" w:line="360" w:lineRule="auto"/>
        <w:jc w:val="center"/>
        <w:rPr>
          <w:bCs/>
          <w:sz w:val="24"/>
          <w:szCs w:val="20"/>
        </w:rPr>
      </w:pPr>
    </w:p>
    <w:p>
      <w:pPr>
        <w:snapToGrid w:val="0"/>
        <w:spacing w:before="156" w:beforeLines="50" w:after="50" w:line="360" w:lineRule="auto"/>
        <w:jc w:val="center"/>
        <w:rPr>
          <w:rFonts w:eastAsia="仿宋_GB2312"/>
          <w:b/>
          <w:kern w:val="44"/>
          <w:sz w:val="32"/>
          <w:szCs w:val="32"/>
        </w:rPr>
      </w:pPr>
      <w:r>
        <w:rPr>
          <w:rFonts w:hint="eastAsia" w:eastAsia="仿宋_GB2312"/>
          <w:b/>
          <w:kern w:val="44"/>
          <w:sz w:val="32"/>
          <w:szCs w:val="32"/>
        </w:rPr>
        <w:t>资格证明文件/技术标文件/报价文件</w:t>
      </w:r>
    </w:p>
    <w:p>
      <w:pPr>
        <w:snapToGrid w:val="0"/>
        <w:spacing w:before="156" w:beforeLines="50" w:after="50" w:line="360" w:lineRule="auto"/>
        <w:rPr>
          <w:bCs/>
          <w:sz w:val="24"/>
          <w:szCs w:val="20"/>
        </w:rPr>
      </w:pPr>
    </w:p>
    <w:p>
      <w:pPr>
        <w:snapToGrid w:val="0"/>
        <w:spacing w:before="156" w:beforeLines="50" w:after="50" w:line="360" w:lineRule="auto"/>
        <w:ind w:firstLine="1068" w:firstLineChars="445"/>
        <w:rPr>
          <w:bCs/>
          <w:sz w:val="24"/>
          <w:szCs w:val="24"/>
        </w:rPr>
      </w:pPr>
      <w:r>
        <w:rPr>
          <w:bCs/>
          <w:sz w:val="24"/>
          <w:szCs w:val="24"/>
        </w:rPr>
        <w:t>项目名称：</w:t>
      </w:r>
    </w:p>
    <w:p>
      <w:pPr>
        <w:snapToGrid w:val="0"/>
        <w:spacing w:before="156" w:beforeLines="50" w:after="50" w:line="360" w:lineRule="auto"/>
        <w:ind w:firstLine="1068" w:firstLineChars="445"/>
        <w:rPr>
          <w:bCs/>
          <w:sz w:val="24"/>
          <w:szCs w:val="24"/>
        </w:rPr>
      </w:pPr>
      <w:r>
        <w:rPr>
          <w:bCs/>
          <w:sz w:val="24"/>
          <w:szCs w:val="24"/>
        </w:rPr>
        <w:t>项目编号：</w:t>
      </w:r>
    </w:p>
    <w:p>
      <w:pPr>
        <w:snapToGrid w:val="0"/>
        <w:spacing w:before="156" w:beforeLines="50" w:after="50" w:line="360" w:lineRule="auto"/>
        <w:ind w:firstLine="1068" w:firstLineChars="445"/>
        <w:rPr>
          <w:bCs/>
          <w:sz w:val="24"/>
          <w:szCs w:val="24"/>
        </w:rPr>
      </w:pPr>
      <w:r>
        <w:rPr>
          <w:bCs/>
          <w:sz w:val="24"/>
          <w:szCs w:val="24"/>
        </w:rPr>
        <w:t>采购单位：</w:t>
      </w:r>
    </w:p>
    <w:p>
      <w:pPr>
        <w:snapToGrid w:val="0"/>
        <w:spacing w:before="156" w:beforeLines="50" w:after="50" w:line="360" w:lineRule="auto"/>
        <w:ind w:firstLine="1068" w:firstLineChars="445"/>
        <w:rPr>
          <w:bCs/>
          <w:sz w:val="24"/>
          <w:szCs w:val="24"/>
        </w:rPr>
      </w:pPr>
      <w:r>
        <w:rPr>
          <w:bCs/>
          <w:sz w:val="24"/>
          <w:szCs w:val="24"/>
        </w:rPr>
        <w:t>代理机构：</w:t>
      </w:r>
    </w:p>
    <w:p>
      <w:pPr>
        <w:pStyle w:val="7"/>
        <w:snapToGrid w:val="0"/>
        <w:spacing w:before="50" w:after="50" w:line="360" w:lineRule="auto"/>
        <w:ind w:firstLine="1080" w:firstLineChars="450"/>
        <w:rPr>
          <w:bCs/>
          <w:sz w:val="24"/>
        </w:rPr>
      </w:pPr>
    </w:p>
    <w:p>
      <w:pPr>
        <w:pStyle w:val="7"/>
        <w:snapToGrid w:val="0"/>
        <w:spacing w:before="50" w:after="50" w:line="360" w:lineRule="auto"/>
        <w:ind w:firstLine="1080" w:firstLineChars="450"/>
        <w:rPr>
          <w:bCs/>
          <w:sz w:val="24"/>
        </w:rPr>
      </w:pPr>
    </w:p>
    <w:p>
      <w:pPr>
        <w:pStyle w:val="7"/>
        <w:snapToGrid w:val="0"/>
        <w:spacing w:before="50" w:after="50" w:line="360" w:lineRule="auto"/>
        <w:ind w:firstLine="1080" w:firstLineChars="450"/>
        <w:rPr>
          <w:bCs/>
          <w:sz w:val="24"/>
        </w:rPr>
      </w:pPr>
    </w:p>
    <w:p>
      <w:pPr>
        <w:pStyle w:val="7"/>
        <w:snapToGrid w:val="0"/>
        <w:spacing w:before="50" w:after="50" w:line="360" w:lineRule="auto"/>
        <w:ind w:firstLine="1080" w:firstLineChars="450"/>
        <w:rPr>
          <w:bCs/>
          <w:sz w:val="24"/>
        </w:rPr>
      </w:pPr>
    </w:p>
    <w:p>
      <w:pPr>
        <w:pStyle w:val="7"/>
        <w:snapToGrid w:val="0"/>
        <w:spacing w:before="50" w:after="50" w:line="360" w:lineRule="auto"/>
        <w:ind w:firstLine="1080" w:firstLineChars="450"/>
        <w:rPr>
          <w:bCs/>
          <w:sz w:val="24"/>
        </w:rPr>
      </w:pPr>
      <w:r>
        <w:rPr>
          <w:bCs/>
          <w:sz w:val="24"/>
        </w:rPr>
        <w:t>投标人名称：</w:t>
      </w:r>
    </w:p>
    <w:p>
      <w:pPr>
        <w:pStyle w:val="7"/>
        <w:snapToGrid w:val="0"/>
        <w:spacing w:before="50" w:after="50" w:line="360" w:lineRule="auto"/>
        <w:ind w:firstLine="1080" w:firstLineChars="450"/>
        <w:rPr>
          <w:bCs/>
          <w:sz w:val="24"/>
        </w:rPr>
      </w:pPr>
      <w:r>
        <w:rPr>
          <w:bCs/>
          <w:sz w:val="24"/>
        </w:rPr>
        <w:t>投标人地址：</w:t>
      </w:r>
    </w:p>
    <w:p>
      <w:pPr>
        <w:snapToGrid w:val="0"/>
        <w:spacing w:before="156" w:beforeLines="50" w:after="50" w:line="360" w:lineRule="auto"/>
        <w:ind w:firstLine="645"/>
        <w:jc w:val="center"/>
        <w:rPr>
          <w:sz w:val="24"/>
          <w:szCs w:val="24"/>
        </w:rPr>
      </w:pPr>
    </w:p>
    <w:p>
      <w:pPr>
        <w:snapToGrid w:val="0"/>
        <w:spacing w:before="156" w:beforeLines="50" w:after="50" w:line="360" w:lineRule="auto"/>
        <w:ind w:firstLine="645"/>
        <w:jc w:val="center"/>
        <w:rPr>
          <w:sz w:val="24"/>
          <w:szCs w:val="24"/>
        </w:rPr>
      </w:pPr>
      <w:r>
        <w:rPr>
          <w:sz w:val="24"/>
          <w:szCs w:val="24"/>
        </w:rPr>
        <w:t>年  月  日</w:t>
      </w:r>
    </w:p>
    <w:p>
      <w:pPr>
        <w:spacing w:line="360" w:lineRule="auto"/>
        <w:rPr>
          <w:rFonts w:ascii="宋体" w:hAnsi="宋体"/>
          <w:b/>
          <w:bCs/>
          <w:snapToGrid w:val="0"/>
          <w:kern w:val="0"/>
          <w:sz w:val="28"/>
          <w:szCs w:val="28"/>
        </w:rPr>
      </w:pPr>
    </w:p>
    <w:p>
      <w:pPr>
        <w:spacing w:line="360" w:lineRule="auto"/>
        <w:rPr>
          <w:rFonts w:ascii="宋体" w:hAnsi="宋体"/>
          <w:b/>
          <w:bCs/>
          <w:snapToGrid w:val="0"/>
          <w:kern w:val="0"/>
          <w:sz w:val="28"/>
          <w:szCs w:val="28"/>
        </w:rPr>
      </w:pPr>
    </w:p>
    <w:p>
      <w:pPr>
        <w:spacing w:line="360" w:lineRule="auto"/>
        <w:rPr>
          <w:rFonts w:ascii="宋体" w:hAnsi="宋体"/>
          <w:b/>
          <w:bCs/>
          <w:snapToGrid w:val="0"/>
          <w:kern w:val="0"/>
          <w:sz w:val="28"/>
          <w:szCs w:val="28"/>
        </w:rPr>
      </w:pPr>
    </w:p>
    <w:p>
      <w:pPr>
        <w:spacing w:line="360" w:lineRule="auto"/>
        <w:rPr>
          <w:rFonts w:ascii="宋体" w:hAnsi="宋体"/>
          <w:b/>
          <w:bCs/>
          <w:snapToGrid w:val="0"/>
          <w:kern w:val="0"/>
          <w:sz w:val="28"/>
          <w:szCs w:val="28"/>
        </w:rPr>
      </w:pPr>
    </w:p>
    <w:p>
      <w:pPr>
        <w:spacing w:line="360" w:lineRule="auto"/>
        <w:rPr>
          <w:rFonts w:ascii="宋体" w:hAnsi="宋体"/>
          <w:b/>
          <w:bCs/>
          <w:snapToGrid w:val="0"/>
          <w:kern w:val="0"/>
          <w:sz w:val="28"/>
          <w:szCs w:val="28"/>
        </w:rPr>
      </w:pPr>
    </w:p>
    <w:p>
      <w:pPr>
        <w:spacing w:line="360" w:lineRule="auto"/>
        <w:rPr>
          <w:rFonts w:ascii="宋体" w:hAnsi="宋体"/>
          <w:b/>
          <w:bCs/>
          <w:snapToGrid w:val="0"/>
          <w:kern w:val="0"/>
          <w:sz w:val="28"/>
          <w:szCs w:val="28"/>
        </w:rPr>
      </w:pPr>
    </w:p>
    <w:p>
      <w:pPr>
        <w:spacing w:line="360" w:lineRule="auto"/>
        <w:rPr>
          <w:rFonts w:ascii="宋体" w:hAnsi="宋体"/>
          <w:b/>
          <w:bCs/>
          <w:snapToGrid w:val="0"/>
          <w:kern w:val="0"/>
          <w:sz w:val="28"/>
          <w:szCs w:val="28"/>
        </w:rPr>
      </w:pPr>
    </w:p>
    <w:p>
      <w:pPr>
        <w:pStyle w:val="23"/>
        <w:tabs>
          <w:tab w:val="left" w:pos="630"/>
          <w:tab w:val="left" w:pos="840"/>
          <w:tab w:val="left" w:pos="1050"/>
        </w:tabs>
        <w:adjustRightInd w:val="0"/>
        <w:snapToGrid w:val="0"/>
        <w:spacing w:before="0" w:beforeAutospacing="0" w:after="0" w:afterAutospacing="0" w:line="360" w:lineRule="auto"/>
        <w:ind w:left="420"/>
        <w:rPr>
          <w:rFonts w:ascii="Times New Roman" w:hAnsi="Times New Roman" w:cs="Times New Roman"/>
          <w:b/>
          <w:kern w:val="2"/>
          <w:szCs w:val="21"/>
        </w:rPr>
      </w:pPr>
      <w:r>
        <w:rPr>
          <w:rFonts w:hint="eastAsia" w:ascii="Times New Roman" w:hAnsi="Times New Roman" w:cs="Times New Roman"/>
          <w:b/>
          <w:kern w:val="2"/>
          <w:szCs w:val="21"/>
        </w:rPr>
        <w:t>符合参与采购活动资格条件的承诺函：</w:t>
      </w:r>
    </w:p>
    <w:p>
      <w:pPr>
        <w:pStyle w:val="23"/>
        <w:adjustRightInd w:val="0"/>
        <w:snapToGrid w:val="0"/>
        <w:spacing w:before="0" w:beforeAutospacing="0" w:after="0" w:afterAutospacing="0" w:line="360" w:lineRule="auto"/>
        <w:ind w:left="420" w:leftChars="200"/>
        <w:rPr>
          <w:color w:val="000000"/>
          <w:sz w:val="21"/>
          <w:szCs w:val="21"/>
        </w:rPr>
      </w:pPr>
    </w:p>
    <w:p>
      <w:pPr>
        <w:pStyle w:val="23"/>
        <w:adjustRightInd w:val="0"/>
        <w:snapToGrid w:val="0"/>
        <w:spacing w:before="0" w:beforeAutospacing="0" w:after="0" w:afterAutospacing="0" w:line="360" w:lineRule="auto"/>
        <w:jc w:val="center"/>
        <w:rPr>
          <w:color w:val="000000"/>
          <w:sz w:val="32"/>
          <w:szCs w:val="32"/>
        </w:rPr>
      </w:pPr>
      <w:r>
        <w:rPr>
          <w:rFonts w:hint="eastAsia"/>
          <w:color w:val="000000"/>
          <w:sz w:val="32"/>
          <w:szCs w:val="32"/>
        </w:rPr>
        <w:t>承诺函</w:t>
      </w:r>
    </w:p>
    <w:p>
      <w:pPr>
        <w:spacing w:line="480" w:lineRule="auto"/>
        <w:rPr>
          <w:rFonts w:ascii="宋体" w:hAnsi="宋体" w:cs="宋体"/>
          <w:color w:val="000000"/>
          <w:u w:val="single"/>
        </w:rPr>
      </w:pPr>
    </w:p>
    <w:p>
      <w:pPr>
        <w:spacing w:line="480" w:lineRule="auto"/>
        <w:rPr>
          <w:rFonts w:ascii="宋体" w:hAnsi="宋体" w:cs="宋体"/>
          <w:color w:val="000000"/>
          <w:sz w:val="24"/>
          <w:szCs w:val="24"/>
          <w:u w:val="single"/>
        </w:rPr>
      </w:pPr>
      <w:r>
        <w:rPr>
          <w:rFonts w:hint="eastAsia" w:ascii="宋体" w:hAnsi="宋体" w:cs="宋体"/>
          <w:color w:val="000000"/>
          <w:sz w:val="24"/>
          <w:szCs w:val="24"/>
          <w:u w:val="single"/>
        </w:rPr>
        <w:t>（采购人）：</w:t>
      </w:r>
    </w:p>
    <w:p>
      <w:pPr>
        <w:pStyle w:val="23"/>
        <w:spacing w:before="0" w:beforeAutospacing="0" w:after="0" w:afterAutospacing="0" w:line="480" w:lineRule="auto"/>
        <w:ind w:firstLine="960" w:firstLineChars="400"/>
        <w:rPr>
          <w:color w:val="000000"/>
        </w:rPr>
      </w:pPr>
    </w:p>
    <w:p>
      <w:pPr>
        <w:pStyle w:val="23"/>
        <w:shd w:val="clear" w:color="auto" w:fill="FFFFFF"/>
        <w:spacing w:before="0" w:beforeAutospacing="0" w:after="0" w:afterAutospacing="0" w:line="480" w:lineRule="auto"/>
        <w:ind w:firstLine="480" w:firstLineChars="200"/>
        <w:rPr>
          <w:color w:val="000000"/>
        </w:rPr>
      </w:pPr>
      <w:r>
        <w:rPr>
          <w:rFonts w:hint="eastAsia"/>
          <w:color w:val="000000"/>
        </w:rPr>
        <w:t>我方</w:t>
      </w:r>
      <w:r>
        <w:rPr>
          <w:rFonts w:hint="eastAsia"/>
          <w:color w:val="000000"/>
          <w:u w:val="single"/>
        </w:rPr>
        <w:t xml:space="preserve">    </w:t>
      </w:r>
      <w:r>
        <w:rPr>
          <w:rFonts w:hint="eastAsia"/>
          <w:i/>
          <w:iCs/>
          <w:color w:val="000000"/>
          <w:u w:val="single"/>
        </w:rPr>
        <w:t>（投标人全称）</w:t>
      </w:r>
      <w:r>
        <w:rPr>
          <w:rFonts w:hint="eastAsia"/>
          <w:color w:val="000000"/>
          <w:u w:val="single"/>
        </w:rPr>
        <w:t xml:space="preserve">  </w:t>
      </w:r>
      <w:r>
        <w:rPr>
          <w:rFonts w:hint="eastAsia"/>
          <w:color w:val="000000"/>
        </w:rPr>
        <w:t>参与</w:t>
      </w:r>
      <w:r>
        <w:rPr>
          <w:rFonts w:hint="eastAsia"/>
          <w:color w:val="000000"/>
          <w:u w:val="single"/>
        </w:rPr>
        <w:t xml:space="preserve">    </w:t>
      </w:r>
      <w:r>
        <w:rPr>
          <w:rFonts w:hint="eastAsia"/>
          <w:i/>
          <w:iCs/>
          <w:color w:val="000000"/>
          <w:u w:val="single"/>
        </w:rPr>
        <w:t xml:space="preserve">  （项目名称）   </w:t>
      </w:r>
      <w:r>
        <w:rPr>
          <w:rFonts w:hint="eastAsia"/>
          <w:color w:val="000000"/>
        </w:rPr>
        <w:t>采购活动，针对供应商资格要求做如下承诺：</w:t>
      </w:r>
    </w:p>
    <w:p>
      <w:pPr>
        <w:pStyle w:val="23"/>
        <w:numPr>
          <w:ilvl w:val="0"/>
          <w:numId w:val="4"/>
        </w:numPr>
        <w:shd w:val="clear" w:color="auto" w:fill="FFFFFF"/>
        <w:spacing w:before="0" w:beforeAutospacing="0" w:after="0" w:afterAutospacing="0" w:line="480" w:lineRule="auto"/>
        <w:ind w:firstLine="480" w:firstLineChars="200"/>
        <w:rPr>
          <w:color w:val="000000"/>
        </w:rPr>
      </w:pPr>
      <w:r>
        <w:rPr>
          <w:rFonts w:hint="eastAsia"/>
          <w:color w:val="000000"/>
        </w:rPr>
        <w:t>我方具有良好的商业信誉和健全的财务会计制度；</w:t>
      </w:r>
    </w:p>
    <w:p>
      <w:pPr>
        <w:pStyle w:val="23"/>
        <w:numPr>
          <w:ilvl w:val="0"/>
          <w:numId w:val="4"/>
        </w:numPr>
        <w:shd w:val="clear" w:color="auto" w:fill="FFFFFF"/>
        <w:spacing w:before="0" w:beforeAutospacing="0" w:after="0" w:afterAutospacing="0" w:line="480" w:lineRule="auto"/>
        <w:ind w:firstLine="480" w:firstLineChars="200"/>
        <w:rPr>
          <w:color w:val="000000"/>
        </w:rPr>
      </w:pPr>
      <w:r>
        <w:rPr>
          <w:rFonts w:hint="eastAsia"/>
          <w:color w:val="000000"/>
        </w:rPr>
        <w:t>我方具有履行本项目合同所必需的设备和专业技术能力；</w:t>
      </w:r>
    </w:p>
    <w:p>
      <w:pPr>
        <w:pStyle w:val="23"/>
        <w:numPr>
          <w:ilvl w:val="0"/>
          <w:numId w:val="4"/>
        </w:numPr>
        <w:shd w:val="clear" w:color="auto" w:fill="FFFFFF"/>
        <w:spacing w:before="0" w:beforeAutospacing="0" w:after="0" w:afterAutospacing="0" w:line="480" w:lineRule="auto"/>
        <w:ind w:firstLine="480" w:firstLineChars="200"/>
        <w:rPr>
          <w:color w:val="000000"/>
        </w:rPr>
      </w:pPr>
      <w:r>
        <w:rPr>
          <w:rFonts w:hint="eastAsia"/>
          <w:color w:val="000000"/>
        </w:rPr>
        <w:t>我方没有缴纳税收和社会保障等方面的失信记录；</w:t>
      </w:r>
    </w:p>
    <w:p>
      <w:pPr>
        <w:pStyle w:val="23"/>
        <w:numPr>
          <w:ilvl w:val="0"/>
          <w:numId w:val="4"/>
        </w:numPr>
        <w:shd w:val="clear" w:color="auto" w:fill="FFFFFF"/>
        <w:spacing w:before="0" w:beforeAutospacing="0" w:after="0" w:afterAutospacing="0" w:line="480" w:lineRule="auto"/>
        <w:ind w:firstLine="480" w:firstLineChars="200"/>
        <w:rPr>
          <w:color w:val="000000"/>
        </w:rPr>
      </w:pPr>
      <w:r>
        <w:rPr>
          <w:rFonts w:hint="eastAsia"/>
          <w:color w:val="000000"/>
        </w:rPr>
        <w:t>我方在参加本次采购活动前三年内，在经营活动中没有重大违法记录（没有因违法经营受到刑事处罚，没有被责令停产停业、被吊销许可证或者执照、被处以较大数额罚款等行政处罚，没有因违法经营被禁止参加政府采购活动的期限未满情形）</w:t>
      </w:r>
    </w:p>
    <w:p>
      <w:pPr>
        <w:pStyle w:val="23"/>
        <w:spacing w:before="0" w:beforeAutospacing="0" w:after="0" w:afterAutospacing="0" w:line="480" w:lineRule="auto"/>
        <w:ind w:firstLine="480" w:firstLineChars="200"/>
        <w:rPr>
          <w:color w:val="000000"/>
        </w:rPr>
      </w:pPr>
      <w:r>
        <w:rPr>
          <w:rFonts w:hint="eastAsia"/>
          <w:color w:val="000000"/>
        </w:rPr>
        <w:t>我方对上述承诺内容的真实性负责。如有虚假，将依法承担相应责任。</w:t>
      </w:r>
    </w:p>
    <w:p>
      <w:pPr>
        <w:pStyle w:val="23"/>
        <w:spacing w:before="0" w:beforeAutospacing="0" w:after="0" w:afterAutospacing="0" w:line="480" w:lineRule="auto"/>
        <w:ind w:firstLine="482" w:firstLineChars="200"/>
        <w:rPr>
          <w:b/>
          <w:bCs/>
          <w:color w:val="000000"/>
        </w:rPr>
      </w:pPr>
    </w:p>
    <w:p>
      <w:pPr>
        <w:pStyle w:val="23"/>
        <w:spacing w:before="0" w:beforeAutospacing="0" w:after="0" w:afterAutospacing="0" w:line="480" w:lineRule="auto"/>
        <w:ind w:firstLine="480" w:firstLineChars="200"/>
        <w:rPr>
          <w:color w:val="000000"/>
        </w:rPr>
      </w:pPr>
      <w:r>
        <w:rPr>
          <w:rFonts w:hint="eastAsia"/>
          <w:color w:val="000000"/>
        </w:rPr>
        <w:t xml:space="preserve">投标人名称（盖章） ： </w:t>
      </w:r>
    </w:p>
    <w:p>
      <w:pPr>
        <w:pStyle w:val="23"/>
        <w:spacing w:before="0" w:beforeAutospacing="0" w:after="0" w:afterAutospacing="0" w:line="480" w:lineRule="auto"/>
        <w:ind w:firstLine="480" w:firstLineChars="200"/>
        <w:rPr>
          <w:color w:val="000000"/>
        </w:rPr>
      </w:pPr>
      <w:r>
        <w:rPr>
          <w:rFonts w:hint="eastAsia"/>
          <w:color w:val="000000"/>
        </w:rPr>
        <w:t>法定代表人或授权代表（签字或盖章）</w:t>
      </w:r>
    </w:p>
    <w:p>
      <w:pPr>
        <w:pStyle w:val="3"/>
        <w:ind w:firstLine="470" w:firstLineChars="196"/>
        <w:rPr>
          <w:rFonts w:ascii="Times New Roman" w:hAnsi="Times New Roman"/>
          <w:color w:val="000000"/>
        </w:rPr>
      </w:pPr>
      <w:r>
        <w:rPr>
          <w:rFonts w:hint="eastAsia" w:ascii="宋体" w:hAnsi="宋体" w:cs="宋体"/>
          <w:b w:val="0"/>
          <w:bCs w:val="0"/>
          <w:color w:val="000000"/>
          <w:kern w:val="0"/>
          <w:sz w:val="24"/>
          <w:szCs w:val="24"/>
        </w:rPr>
        <w:t xml:space="preserve">日期：  年  月  日 </w:t>
      </w:r>
      <w:r>
        <w:rPr>
          <w:rFonts w:hint="eastAsia" w:ascii="宋体" w:hAnsi="宋体" w:cs="宋体"/>
          <w:b w:val="0"/>
          <w:bCs w:val="0"/>
          <w:color w:val="000000"/>
          <w:szCs w:val="21"/>
        </w:rPr>
        <w:t xml:space="preserve">   </w:t>
      </w:r>
    </w:p>
    <w:p>
      <w:pPr>
        <w:pStyle w:val="3"/>
        <w:ind w:firstLine="630" w:firstLineChars="196"/>
        <w:rPr>
          <w:rFonts w:ascii="宋体" w:hAnsi="宋体" w:cs="宋体"/>
          <w:color w:val="000000"/>
          <w:szCs w:val="21"/>
        </w:rPr>
      </w:pPr>
    </w:p>
    <w:p>
      <w:pPr>
        <w:snapToGrid w:val="0"/>
        <w:spacing w:before="156" w:beforeLines="50" w:after="50" w:line="360" w:lineRule="auto"/>
        <w:jc w:val="center"/>
        <w:rPr>
          <w:rFonts w:eastAsia="仿宋_GB2312"/>
          <w:b/>
          <w:kern w:val="44"/>
          <w:sz w:val="32"/>
          <w:szCs w:val="32"/>
        </w:rPr>
        <w:sectPr>
          <w:footerReference r:id="rId8" w:type="default"/>
          <w:pgSz w:w="11906" w:h="16838"/>
          <w:pgMar w:top="1134" w:right="1134" w:bottom="1134" w:left="1134" w:header="851" w:footer="992" w:gutter="0"/>
          <w:cols w:space="720" w:num="1"/>
          <w:docGrid w:type="lines" w:linePitch="312" w:charSpace="0"/>
        </w:sectPr>
      </w:pPr>
    </w:p>
    <w:p>
      <w:pPr>
        <w:snapToGrid w:val="0"/>
        <w:spacing w:before="156" w:beforeLines="50" w:after="50" w:line="360" w:lineRule="auto"/>
        <w:jc w:val="center"/>
        <w:rPr>
          <w:rFonts w:eastAsia="仿宋_GB2312"/>
          <w:b/>
          <w:kern w:val="44"/>
          <w:sz w:val="32"/>
          <w:szCs w:val="32"/>
        </w:rPr>
      </w:pPr>
      <w:r>
        <w:rPr>
          <w:rFonts w:hint="eastAsia" w:eastAsia="仿宋_GB2312"/>
          <w:b/>
          <w:kern w:val="44"/>
          <w:sz w:val="32"/>
          <w:szCs w:val="32"/>
        </w:rPr>
        <w:t>平阳县人民医院中药配方颗粒及相关伴随服务项目</w:t>
      </w:r>
    </w:p>
    <w:p>
      <w:pPr>
        <w:snapToGrid w:val="0"/>
        <w:spacing w:before="156" w:beforeLines="50" w:after="50" w:line="360" w:lineRule="auto"/>
        <w:jc w:val="center"/>
        <w:rPr>
          <w:rFonts w:eastAsia="仿宋_GB2312"/>
          <w:b/>
          <w:kern w:val="44"/>
          <w:sz w:val="32"/>
          <w:szCs w:val="32"/>
        </w:rPr>
      </w:pPr>
      <w:r>
        <w:rPr>
          <w:rFonts w:hint="eastAsia" w:eastAsia="仿宋_GB2312"/>
          <w:b/>
          <w:kern w:val="44"/>
          <w:sz w:val="32"/>
          <w:szCs w:val="32"/>
        </w:rPr>
        <w:t>投 标 函</w:t>
      </w:r>
    </w:p>
    <w:p>
      <w:pPr>
        <w:adjustRightInd w:val="0"/>
        <w:spacing w:line="360" w:lineRule="auto"/>
        <w:rPr>
          <w:rFonts w:ascii="宋体" w:hAnsi="宋体"/>
          <w:b/>
          <w:bCs/>
          <w:snapToGrid w:val="0"/>
          <w:kern w:val="0"/>
          <w:sz w:val="24"/>
        </w:rPr>
      </w:pPr>
      <w:r>
        <w:rPr>
          <w:rFonts w:ascii="宋体" w:hAnsi="宋体"/>
          <w:sz w:val="24"/>
        </w:rPr>
        <mc:AlternateContent>
          <mc:Choice Requires="wps">
            <w:drawing>
              <wp:anchor distT="0" distB="0" distL="113665" distR="113665" simplePos="0" relativeHeight="251687936" behindDoc="0" locked="0" layoutInCell="1" allowOverlap="1">
                <wp:simplePos x="0" y="0"/>
                <wp:positionH relativeFrom="column">
                  <wp:posOffset>685800</wp:posOffset>
                </wp:positionH>
                <wp:positionV relativeFrom="paragraph">
                  <wp:posOffset>50800</wp:posOffset>
                </wp:positionV>
                <wp:extent cx="635" cy="0"/>
                <wp:effectExtent l="9525" t="12700" r="8890" b="6350"/>
                <wp:wrapNone/>
                <wp:docPr id="4" name="Line 33"/>
                <wp:cNvGraphicFramePr/>
                <a:graphic xmlns:a="http://schemas.openxmlformats.org/drawingml/2006/main">
                  <a:graphicData uri="http://schemas.microsoft.com/office/word/2010/wordprocessingShape">
                    <wps:wsp>
                      <wps:cNvCnPr>
                        <a:cxnSpLocks noChangeShapeType="1"/>
                      </wps:cNvCnPr>
                      <wps:spPr bwMode="auto">
                        <a:xfrm flipV="1">
                          <a:off x="0" y="0"/>
                          <a:ext cx="635" cy="0"/>
                        </a:xfrm>
                        <a:prstGeom prst="line">
                          <a:avLst/>
                        </a:prstGeom>
                        <a:noFill/>
                        <a:ln w="9525">
                          <a:solidFill>
                            <a:srgbClr val="000000"/>
                          </a:solidFill>
                          <a:round/>
                        </a:ln>
                      </wps:spPr>
                      <wps:bodyPr/>
                    </wps:wsp>
                  </a:graphicData>
                </a:graphic>
              </wp:anchor>
            </w:drawing>
          </mc:Choice>
          <mc:Fallback>
            <w:pict>
              <v:line id="Line 33" o:spid="_x0000_s1026" o:spt="20" style="position:absolute;left:0pt;flip:y;margin-left:54pt;margin-top:4pt;height:0pt;width:0.05pt;z-index:251687936;mso-width-relative:page;mso-height-relative:page;" filled="f" stroked="t" coordsize="21600,21600" o:gfxdata="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aOs4w0gAAAAcBAAAPAAAAAAAAAAEAIAAAACIAAABkcnMvZG93&#10;bnJldi54bWxQSwECFAAUAAAACACHTuJACh/8rs0BAACmAwAADgAAAAAAAAABACAAAAAhAQAAZHJz&#10;L2Uyb0RvYy54bWxQSwUGAAAAAAYABgBZAQAAYAUAAAAA&#10;">
                <v:fill on="f" focussize="0,0"/>
                <v:stroke color="#000000" joinstyle="round"/>
                <v:imagedata o:title=""/>
                <o:lock v:ext="edit" aspectratio="f"/>
              </v:line>
            </w:pict>
          </mc:Fallback>
        </mc:AlternateContent>
      </w:r>
      <w:r>
        <w:rPr>
          <w:rFonts w:hint="eastAsia" w:ascii="宋体" w:hAnsi="宋体"/>
          <w:b/>
          <w:bCs/>
          <w:snapToGrid w:val="0"/>
          <w:kern w:val="0"/>
          <w:sz w:val="24"/>
        </w:rPr>
        <w:t>致：平阳县人民医院</w:t>
      </w:r>
    </w:p>
    <w:p>
      <w:pPr>
        <w:adjustRightInd w:val="0"/>
        <w:spacing w:line="360" w:lineRule="auto"/>
        <w:rPr>
          <w:rFonts w:ascii="宋体" w:hAnsi="宋体"/>
          <w:b/>
          <w:bCs/>
          <w:snapToGrid w:val="0"/>
          <w:kern w:val="0"/>
          <w:sz w:val="28"/>
          <w:szCs w:val="28"/>
        </w:rPr>
      </w:pPr>
      <w:r>
        <w:rPr>
          <w:rFonts w:hint="eastAsia" w:ascii="宋体" w:hAnsi="宋体"/>
          <w:b/>
          <w:bCs/>
          <w:snapToGrid w:val="0"/>
          <w:kern w:val="0"/>
          <w:sz w:val="24"/>
        </w:rPr>
        <w:t xml:space="preserve">    浙江社发项目管理有限公司</w:t>
      </w:r>
    </w:p>
    <w:p>
      <w:pPr>
        <w:snapToGrid w:val="0"/>
        <w:spacing w:before="156" w:beforeLines="50" w:after="50" w:line="288" w:lineRule="auto"/>
        <w:ind w:firstLine="645"/>
        <w:rPr>
          <w:rFonts w:ascii="宋体" w:hAnsi="宋体"/>
          <w:sz w:val="24"/>
        </w:rPr>
      </w:pPr>
      <w:r>
        <w:rPr>
          <w:rFonts w:ascii="宋体" w:hAnsi="宋体"/>
          <w:sz w:val="24"/>
        </w:rPr>
        <w:t>我</w:t>
      </w:r>
      <w:r>
        <w:rPr>
          <w:rFonts w:ascii="宋体" w:hAnsi="宋体"/>
          <w:sz w:val="24"/>
          <w:u w:val="single"/>
        </w:rPr>
        <w:t xml:space="preserve">          </w:t>
      </w:r>
      <w:r>
        <w:rPr>
          <w:rFonts w:ascii="宋体" w:hAnsi="宋体"/>
          <w:sz w:val="24"/>
        </w:rPr>
        <w:t>（姓名）系</w:t>
      </w:r>
      <w:r>
        <w:rPr>
          <w:rFonts w:ascii="宋体" w:hAnsi="宋体"/>
          <w:sz w:val="24"/>
          <w:u w:val="single"/>
        </w:rPr>
        <w:t xml:space="preserve">           </w:t>
      </w:r>
      <w:r>
        <w:rPr>
          <w:rFonts w:ascii="宋体" w:hAnsi="宋体"/>
          <w:sz w:val="24"/>
        </w:rPr>
        <w:t>（投标人名称）的法定代表人/授权委托人，我方愿意参加贵方组织的</w:t>
      </w:r>
      <w:r>
        <w:rPr>
          <w:rFonts w:ascii="宋体" w:hAnsi="宋体"/>
          <w:sz w:val="24"/>
          <w:u w:val="single"/>
        </w:rPr>
        <w:t xml:space="preserve">                   </w:t>
      </w:r>
      <w:r>
        <w:rPr>
          <w:rFonts w:ascii="宋体" w:hAnsi="宋体"/>
          <w:sz w:val="24"/>
        </w:rPr>
        <w:t>（项目编号：</w:t>
      </w:r>
      <w:r>
        <w:rPr>
          <w:rFonts w:ascii="宋体" w:hAnsi="宋体"/>
          <w:sz w:val="24"/>
          <w:u w:val="single"/>
        </w:rPr>
        <w:t xml:space="preserve">           </w:t>
      </w:r>
      <w:r>
        <w:rPr>
          <w:rFonts w:ascii="宋体" w:hAnsi="宋体"/>
          <w:sz w:val="24"/>
        </w:rPr>
        <w:t>）项目的投标，</w:t>
      </w:r>
      <w:r>
        <w:rPr>
          <w:rFonts w:hint="eastAsia" w:ascii="宋体" w:hAnsi="宋体"/>
          <w:sz w:val="24"/>
        </w:rPr>
        <w:t>现</w:t>
      </w:r>
      <w:r>
        <w:rPr>
          <w:rFonts w:ascii="宋体" w:hAnsi="宋体"/>
          <w:sz w:val="24"/>
        </w:rPr>
        <w:t>就本次投标有关事项郑重声明如下：</w:t>
      </w:r>
    </w:p>
    <w:p>
      <w:pPr>
        <w:snapToGrid w:val="0"/>
        <w:spacing w:line="288" w:lineRule="auto"/>
        <w:ind w:firstLine="480" w:firstLineChars="200"/>
        <w:rPr>
          <w:rFonts w:ascii="宋体" w:hAnsi="宋体"/>
          <w:sz w:val="24"/>
        </w:rPr>
      </w:pPr>
      <w:r>
        <w:rPr>
          <w:rFonts w:ascii="宋体" w:hAnsi="宋体"/>
          <w:sz w:val="24"/>
        </w:rPr>
        <w:t>1.投标人已详细审查全部“招标文件”，包括修改、澄清文件（如有的话）以及全部参考资料和有关附件，已经了解我方对于招标文件、采购过程、采购结果有依法进行询问、质疑、投诉的权利及相关渠道和要求。</w:t>
      </w:r>
    </w:p>
    <w:p>
      <w:pPr>
        <w:snapToGrid w:val="0"/>
        <w:spacing w:line="288" w:lineRule="auto"/>
        <w:ind w:firstLine="480" w:firstLineChars="200"/>
        <w:rPr>
          <w:rFonts w:ascii="宋体" w:hAnsi="宋体"/>
          <w:sz w:val="24"/>
        </w:rPr>
      </w:pPr>
      <w:r>
        <w:rPr>
          <w:rFonts w:ascii="宋体" w:hAnsi="宋体"/>
          <w:sz w:val="24"/>
        </w:rPr>
        <w:t>2.投标人在投标之前已经与贵方进行了充分的沟通，完全理解并接受招标文件的各项规定和要求，对招标文件的合理性、合法性不再有异议。</w:t>
      </w:r>
    </w:p>
    <w:p>
      <w:pPr>
        <w:snapToGrid w:val="0"/>
        <w:spacing w:line="288" w:lineRule="auto"/>
        <w:ind w:firstLine="480" w:firstLineChars="200"/>
        <w:rPr>
          <w:rFonts w:ascii="宋体" w:hAnsi="宋体"/>
          <w:sz w:val="24"/>
        </w:rPr>
      </w:pPr>
      <w:r>
        <w:rPr>
          <w:rFonts w:ascii="宋体" w:hAnsi="宋体"/>
          <w:sz w:val="24"/>
        </w:rPr>
        <w:t>3.本投标有效期自开标日起</w:t>
      </w:r>
      <w:r>
        <w:rPr>
          <w:rFonts w:ascii="宋体" w:hAnsi="宋体"/>
          <w:sz w:val="24"/>
          <w:u w:val="single"/>
        </w:rPr>
        <w:t>90</w:t>
      </w:r>
      <w:r>
        <w:rPr>
          <w:rFonts w:ascii="宋体" w:hAnsi="宋体"/>
          <w:sz w:val="24"/>
        </w:rPr>
        <w:t>日。</w:t>
      </w:r>
    </w:p>
    <w:p>
      <w:pPr>
        <w:snapToGrid w:val="0"/>
        <w:spacing w:line="288" w:lineRule="auto"/>
        <w:ind w:firstLine="480" w:firstLineChars="200"/>
        <w:rPr>
          <w:rFonts w:ascii="宋体" w:hAnsi="宋体"/>
          <w:sz w:val="24"/>
        </w:rPr>
      </w:pPr>
      <w:r>
        <w:rPr>
          <w:rFonts w:ascii="宋体" w:hAnsi="宋体"/>
          <w:sz w:val="24"/>
        </w:rPr>
        <w:t>4.如中标，本投标文件至本项目合同履行完毕止均保持有效，本投标人将按“招标文件”及政府采购法律、法规的规定履行合同责任和义务。</w:t>
      </w:r>
    </w:p>
    <w:p>
      <w:pPr>
        <w:snapToGrid w:val="0"/>
        <w:spacing w:line="288" w:lineRule="auto"/>
        <w:ind w:firstLine="480" w:firstLineChars="200"/>
        <w:rPr>
          <w:rFonts w:ascii="宋体" w:hAnsi="宋体"/>
          <w:sz w:val="24"/>
        </w:rPr>
      </w:pPr>
      <w:r>
        <w:rPr>
          <w:rFonts w:ascii="宋体" w:hAnsi="宋体"/>
          <w:sz w:val="24"/>
        </w:rPr>
        <w:t>5.投标人同意按照贵方要求提供与投标有关的一切数据或资料。</w:t>
      </w:r>
    </w:p>
    <w:p>
      <w:pPr>
        <w:snapToGrid w:val="0"/>
        <w:spacing w:line="288" w:lineRule="auto"/>
        <w:ind w:firstLine="480" w:firstLineChars="200"/>
        <w:rPr>
          <w:rFonts w:ascii="宋体" w:hAnsi="宋体"/>
          <w:sz w:val="24"/>
        </w:rPr>
      </w:pPr>
      <w:r>
        <w:rPr>
          <w:rFonts w:ascii="宋体" w:hAnsi="宋体"/>
          <w:sz w:val="24"/>
        </w:rPr>
        <w:t>6.我方向贵方提交的所有投标文件、资料都是准确的和真实的。</w:t>
      </w:r>
    </w:p>
    <w:p>
      <w:pPr>
        <w:snapToGrid w:val="0"/>
        <w:spacing w:line="288" w:lineRule="auto"/>
        <w:ind w:firstLine="480" w:firstLineChars="200"/>
        <w:rPr>
          <w:rFonts w:ascii="宋体" w:hAnsi="宋体"/>
          <w:sz w:val="24"/>
        </w:rPr>
      </w:pPr>
      <w:r>
        <w:rPr>
          <w:rFonts w:hint="eastAsia" w:ascii="宋体" w:hAnsi="宋体"/>
          <w:sz w:val="24"/>
        </w:rPr>
        <w:t>7</w:t>
      </w:r>
      <w:r>
        <w:rPr>
          <w:rFonts w:ascii="宋体" w:hAnsi="宋体"/>
          <w:sz w:val="24"/>
        </w:rPr>
        <w:t>.我方不是采购人的附属机构；在获知本项目采购信息后，与采购人聘请的为此项目提供咨询服务的公司及其附属机构没有任何联系。</w:t>
      </w:r>
    </w:p>
    <w:p>
      <w:pPr>
        <w:snapToGrid w:val="0"/>
        <w:spacing w:line="288" w:lineRule="auto"/>
        <w:ind w:firstLine="480" w:firstLineChars="200"/>
        <w:rPr>
          <w:rFonts w:ascii="宋体" w:hAnsi="宋体"/>
          <w:sz w:val="24"/>
        </w:rPr>
      </w:pPr>
      <w:r>
        <w:rPr>
          <w:rFonts w:hint="eastAsia" w:ascii="宋体" w:hAnsi="宋体"/>
          <w:sz w:val="24"/>
        </w:rPr>
        <w:t>8.</w:t>
      </w:r>
      <w:r>
        <w:rPr>
          <w:rFonts w:hint="eastAsia" w:ascii="宋体" w:hAnsi="宋体"/>
          <w:b/>
          <w:sz w:val="24"/>
        </w:rPr>
        <w:t>我方已详细审阅“招标文件”内“第五部分  招标项目范围及要求”内的所有相关服务要求，并郑重承诺一旦中标将严格按采购人要求执行。</w:t>
      </w:r>
    </w:p>
    <w:p>
      <w:pPr>
        <w:snapToGrid w:val="0"/>
        <w:spacing w:line="288" w:lineRule="auto"/>
        <w:ind w:firstLine="480" w:firstLineChars="200"/>
        <w:rPr>
          <w:rFonts w:ascii="宋体" w:hAnsi="宋体"/>
          <w:sz w:val="24"/>
        </w:rPr>
      </w:pPr>
      <w:r>
        <w:rPr>
          <w:rFonts w:hint="eastAsia" w:ascii="宋体" w:hAnsi="宋体"/>
          <w:sz w:val="24"/>
        </w:rPr>
        <w:t>9</w:t>
      </w:r>
      <w:r>
        <w:rPr>
          <w:rFonts w:ascii="宋体" w:hAnsi="宋体"/>
          <w:sz w:val="24"/>
        </w:rPr>
        <w:t>.以上事项如有虚假或隐瞒，我方愿意承担一切后果，并不再寻求任何旨在减轻或免除法律责任的辩解。</w:t>
      </w:r>
    </w:p>
    <w:p>
      <w:pPr>
        <w:adjustRightInd w:val="0"/>
        <w:snapToGrid w:val="0"/>
        <w:spacing w:line="360" w:lineRule="auto"/>
        <w:ind w:firstLine="3600" w:firstLineChars="1500"/>
        <w:rPr>
          <w:rFonts w:ascii="宋体" w:hAnsi="宋体"/>
          <w:snapToGrid w:val="0"/>
          <w:kern w:val="0"/>
          <w:sz w:val="24"/>
        </w:rPr>
      </w:pPr>
    </w:p>
    <w:p>
      <w:pPr>
        <w:adjustRightInd w:val="0"/>
        <w:snapToGrid w:val="0"/>
        <w:spacing w:line="360" w:lineRule="auto"/>
        <w:ind w:firstLine="3600" w:firstLineChars="1500"/>
        <w:rPr>
          <w:rFonts w:ascii="宋体" w:hAnsi="宋体"/>
          <w:snapToGrid w:val="0"/>
          <w:kern w:val="0"/>
          <w:sz w:val="24"/>
        </w:rPr>
      </w:pPr>
      <w:r>
        <w:rPr>
          <w:rFonts w:hint="eastAsia" w:ascii="宋体" w:hAnsi="宋体"/>
          <w:snapToGrid w:val="0"/>
          <w:kern w:val="0"/>
          <w:sz w:val="24"/>
        </w:rPr>
        <w:t>投标人（盖章）</w:t>
      </w:r>
      <w:r>
        <w:rPr>
          <w:rFonts w:hint="eastAsia" w:ascii="宋体" w:hAnsi="宋体"/>
          <w:sz w:val="24"/>
          <w:u w:val="single"/>
        </w:rPr>
        <w:t xml:space="preserve">                                </w:t>
      </w:r>
    </w:p>
    <w:p>
      <w:pPr>
        <w:adjustRightInd w:val="0"/>
        <w:snapToGrid w:val="0"/>
        <w:spacing w:line="360" w:lineRule="auto"/>
        <w:ind w:firstLine="3600" w:firstLineChars="1500"/>
        <w:rPr>
          <w:rFonts w:ascii="宋体" w:hAnsi="宋体"/>
          <w:snapToGrid w:val="0"/>
          <w:kern w:val="0"/>
          <w:sz w:val="24"/>
        </w:rPr>
      </w:pPr>
      <w:r>
        <w:rPr>
          <w:rFonts w:hint="eastAsia" w:ascii="宋体" w:hAnsi="宋体"/>
          <w:snapToGrid w:val="0"/>
          <w:kern w:val="0"/>
          <w:sz w:val="24"/>
        </w:rPr>
        <w:t xml:space="preserve">法 定 代 表 人 </w:t>
      </w:r>
      <w:r>
        <w:rPr>
          <w:rFonts w:hint="eastAsia" w:ascii="宋体" w:hAnsi="宋体"/>
          <w:sz w:val="24"/>
          <w:u w:val="single"/>
        </w:rPr>
        <w:t xml:space="preserve">                               </w:t>
      </w:r>
    </w:p>
    <w:p>
      <w:pPr>
        <w:spacing w:line="360" w:lineRule="auto"/>
        <w:ind w:firstLine="3600" w:firstLineChars="1500"/>
        <w:jc w:val="left"/>
        <w:rPr>
          <w:rFonts w:ascii="宋体" w:hAnsi="宋体"/>
          <w:snapToGrid w:val="0"/>
          <w:kern w:val="0"/>
          <w:sz w:val="24"/>
        </w:rPr>
      </w:pPr>
      <w:r>
        <w:rPr>
          <w:rFonts w:hint="eastAsia" w:ascii="宋体" w:hAnsi="宋体"/>
          <w:snapToGrid w:val="0"/>
          <w:kern w:val="0"/>
          <w:sz w:val="24"/>
        </w:rPr>
        <w:t xml:space="preserve">出具时间 </w:t>
      </w:r>
      <w:r>
        <w:rPr>
          <w:rFonts w:hint="eastAsia" w:ascii="宋体" w:hAnsi="宋体"/>
          <w:snapToGrid w:val="0"/>
          <w:kern w:val="0"/>
          <w:sz w:val="24"/>
          <w:u w:val="single"/>
        </w:rPr>
        <w:t xml:space="preserve">   　　 </w:t>
      </w:r>
      <w:r>
        <w:rPr>
          <w:rFonts w:hint="eastAsia" w:ascii="宋体" w:hAnsi="宋体"/>
          <w:snapToGrid w:val="0"/>
          <w:kern w:val="0"/>
          <w:sz w:val="24"/>
        </w:rPr>
        <w:t>年</w:t>
      </w:r>
      <w:r>
        <w:rPr>
          <w:rFonts w:hint="eastAsia" w:ascii="宋体" w:hAnsi="宋体"/>
          <w:snapToGrid w:val="0"/>
          <w:kern w:val="0"/>
          <w:sz w:val="24"/>
          <w:u w:val="single"/>
        </w:rPr>
        <w:t xml:space="preserve">   　　</w:t>
      </w:r>
      <w:r>
        <w:rPr>
          <w:rFonts w:hint="eastAsia" w:ascii="宋体" w:hAnsi="宋体"/>
          <w:snapToGrid w:val="0"/>
          <w:kern w:val="0"/>
          <w:sz w:val="24"/>
        </w:rPr>
        <w:t>月</w:t>
      </w:r>
      <w:r>
        <w:rPr>
          <w:rFonts w:hint="eastAsia" w:ascii="宋体" w:hAnsi="宋体"/>
          <w:snapToGrid w:val="0"/>
          <w:kern w:val="0"/>
          <w:sz w:val="24"/>
          <w:u w:val="single"/>
        </w:rPr>
        <w:t xml:space="preserve">   　　</w:t>
      </w:r>
      <w:r>
        <w:rPr>
          <w:rFonts w:hint="eastAsia" w:ascii="宋体" w:hAnsi="宋体"/>
          <w:snapToGrid w:val="0"/>
          <w:kern w:val="0"/>
          <w:sz w:val="24"/>
        </w:rPr>
        <w:t>日</w:t>
      </w:r>
    </w:p>
    <w:p>
      <w:pPr>
        <w:spacing w:line="360" w:lineRule="auto"/>
        <w:ind w:firstLine="3600" w:firstLineChars="1500"/>
        <w:jc w:val="left"/>
        <w:rPr>
          <w:rFonts w:ascii="宋体" w:hAnsi="宋体"/>
          <w:snapToGrid w:val="0"/>
          <w:kern w:val="0"/>
          <w:sz w:val="28"/>
          <w:szCs w:val="28"/>
        </w:rPr>
      </w:pPr>
      <w:r>
        <w:rPr>
          <w:rFonts w:ascii="宋体" w:hAnsi="宋体"/>
          <w:snapToGrid w:val="0"/>
          <w:kern w:val="0"/>
          <w:sz w:val="24"/>
        </w:rPr>
        <w:br w:type="page"/>
      </w:r>
    </w:p>
    <w:p>
      <w:pPr>
        <w:adjustRightInd w:val="0"/>
        <w:snapToGrid w:val="0"/>
        <w:spacing w:line="360" w:lineRule="auto"/>
        <w:jc w:val="center"/>
        <w:rPr>
          <w:rFonts w:eastAsia="仿宋_GB2312"/>
          <w:b/>
          <w:kern w:val="44"/>
          <w:sz w:val="32"/>
          <w:szCs w:val="32"/>
        </w:rPr>
      </w:pPr>
      <w:r>
        <w:rPr>
          <w:rFonts w:hint="eastAsia" w:eastAsia="仿宋_GB2312"/>
          <w:b/>
          <w:kern w:val="44"/>
          <w:sz w:val="32"/>
          <w:szCs w:val="32"/>
        </w:rPr>
        <w:t>平阳县人民医院中药配方颗粒及相关伴随服务项目</w:t>
      </w:r>
    </w:p>
    <w:p>
      <w:pPr>
        <w:pStyle w:val="3"/>
        <w:jc w:val="center"/>
        <w:rPr>
          <w:rFonts w:ascii="方正小标宋简体" w:eastAsia="方正小标宋简体"/>
          <w:b w:val="0"/>
          <w:sz w:val="30"/>
          <w:szCs w:val="30"/>
        </w:rPr>
      </w:pPr>
      <w:r>
        <w:rPr>
          <w:rFonts w:hint="eastAsia" w:ascii="Times New Roman" w:hAnsi="Times New Roman" w:eastAsia="仿宋_GB2312"/>
          <w:bCs w:val="0"/>
          <w:kern w:val="44"/>
        </w:rPr>
        <w:t>法定代表人授权书</w:t>
      </w:r>
    </w:p>
    <w:p>
      <w:pPr>
        <w:tabs>
          <w:tab w:val="left" w:pos="5340"/>
        </w:tabs>
        <w:spacing w:line="360" w:lineRule="auto"/>
        <w:jc w:val="left"/>
        <w:rPr>
          <w:rFonts w:ascii="宋体" w:hAnsi="宋体"/>
          <w:sz w:val="28"/>
          <w:szCs w:val="28"/>
        </w:rPr>
      </w:pPr>
      <w:r>
        <w:rPr>
          <w:rFonts w:ascii="宋体" w:hAnsi="宋体"/>
          <w:sz w:val="28"/>
          <w:szCs w:val="28"/>
        </w:rPr>
        <w:tab/>
      </w:r>
    </w:p>
    <w:p>
      <w:pPr>
        <w:adjustRightInd w:val="0"/>
        <w:spacing w:line="360" w:lineRule="auto"/>
        <w:rPr>
          <w:rFonts w:ascii="宋体" w:hAnsi="宋体"/>
          <w:b/>
          <w:bCs/>
          <w:snapToGrid w:val="0"/>
          <w:kern w:val="0"/>
          <w:sz w:val="24"/>
        </w:rPr>
      </w:pPr>
      <w:r>
        <w:rPr>
          <w:rFonts w:hint="eastAsia" w:ascii="宋体" w:hAnsi="宋体"/>
          <w:bCs/>
          <w:sz w:val="24"/>
        </w:rPr>
        <w:t>致：</w:t>
      </w:r>
      <w:r>
        <w:rPr>
          <w:rFonts w:hint="eastAsia" w:ascii="宋体" w:hAnsi="宋体"/>
          <w:b/>
          <w:bCs/>
          <w:snapToGrid w:val="0"/>
          <w:kern w:val="0"/>
          <w:sz w:val="24"/>
        </w:rPr>
        <w:t>平阳县人民医院</w:t>
      </w:r>
    </w:p>
    <w:p>
      <w:pPr>
        <w:adjustRightInd w:val="0"/>
        <w:spacing w:line="360" w:lineRule="auto"/>
        <w:rPr>
          <w:rFonts w:ascii="宋体" w:hAnsi="宋体"/>
          <w:sz w:val="24"/>
        </w:rPr>
      </w:pPr>
      <w:r>
        <w:rPr>
          <w:rFonts w:hint="eastAsia" w:ascii="宋体" w:hAnsi="宋体"/>
          <w:b/>
          <w:bCs/>
          <w:snapToGrid w:val="0"/>
          <w:kern w:val="0"/>
          <w:sz w:val="24"/>
        </w:rPr>
        <w:t xml:space="preserve">    浙江社发项目管理有限公司</w:t>
      </w:r>
    </w:p>
    <w:p>
      <w:pPr>
        <w:snapToGrid w:val="0"/>
        <w:spacing w:line="360" w:lineRule="auto"/>
        <w:ind w:firstLine="480" w:firstLineChars="200"/>
        <w:rPr>
          <w:rFonts w:ascii="宋体" w:hAnsi="宋体"/>
          <w:sz w:val="24"/>
        </w:rPr>
      </w:pPr>
      <w:r>
        <w:rPr>
          <w:rFonts w:hint="eastAsia" w:ascii="宋体" w:hAnsi="宋体"/>
          <w:sz w:val="24"/>
        </w:rPr>
        <w:t xml:space="preserve">我 </w:t>
      </w:r>
      <w:r>
        <w:rPr>
          <w:rFonts w:hint="eastAsia" w:ascii="宋体" w:hAnsi="宋体"/>
          <w:sz w:val="24"/>
          <w:u w:val="single"/>
        </w:rPr>
        <w:t xml:space="preserve">               </w:t>
      </w:r>
      <w:r>
        <w:rPr>
          <w:rFonts w:hint="eastAsia" w:ascii="宋体" w:hAnsi="宋体"/>
          <w:sz w:val="24"/>
        </w:rPr>
        <w:t xml:space="preserve">（姓名）系 </w:t>
      </w:r>
      <w:r>
        <w:rPr>
          <w:rFonts w:hint="eastAsia" w:ascii="宋体" w:hAnsi="宋体"/>
          <w:sz w:val="24"/>
          <w:u w:val="single"/>
        </w:rPr>
        <w:t xml:space="preserve">               </w:t>
      </w:r>
      <w:r>
        <w:rPr>
          <w:rFonts w:hint="eastAsia" w:ascii="宋体" w:hAnsi="宋体"/>
          <w:sz w:val="24"/>
        </w:rPr>
        <w:t xml:space="preserve">（投标人名称）的法定代表人，现授权委托本单位在职职工 </w:t>
      </w:r>
      <w:r>
        <w:rPr>
          <w:rFonts w:hint="eastAsia" w:ascii="宋体" w:hAnsi="宋体"/>
          <w:sz w:val="24"/>
          <w:u w:val="single"/>
        </w:rPr>
        <w:t xml:space="preserve">               </w:t>
      </w:r>
      <w:r>
        <w:rPr>
          <w:rFonts w:hint="eastAsia" w:ascii="宋体" w:hAnsi="宋体"/>
          <w:sz w:val="24"/>
        </w:rPr>
        <w:t>（姓名）以我方的名义参加“平阳县人民医院中药配方颗粒及相关伴随服务项目”的投标活动，并代表我方全权办理针对上述项目的投标、开标、评标、签约等具体事务和签署相关文件。</w:t>
      </w:r>
    </w:p>
    <w:p>
      <w:pPr>
        <w:snapToGrid w:val="0"/>
        <w:spacing w:line="360" w:lineRule="auto"/>
        <w:ind w:firstLine="480" w:firstLineChars="200"/>
        <w:rPr>
          <w:rFonts w:ascii="宋体" w:hAnsi="宋体"/>
          <w:sz w:val="24"/>
        </w:rPr>
      </w:pPr>
      <w:r>
        <w:rPr>
          <w:rFonts w:hint="eastAsia" w:ascii="宋体" w:hAnsi="宋体"/>
          <w:sz w:val="24"/>
        </w:rPr>
        <w:t>我方对被授权人的签名事项负全部责任。</w:t>
      </w:r>
    </w:p>
    <w:p>
      <w:pPr>
        <w:snapToGrid w:val="0"/>
        <w:spacing w:line="360" w:lineRule="auto"/>
        <w:ind w:firstLine="480" w:firstLineChars="200"/>
        <w:rPr>
          <w:rFonts w:ascii="宋体" w:hAnsi="宋体"/>
          <w:sz w:val="24"/>
        </w:rPr>
      </w:pPr>
      <w:r>
        <w:rPr>
          <w:rFonts w:hint="eastAsia" w:ascii="宋体" w:hAnsi="宋体"/>
          <w:sz w:val="24"/>
        </w:rPr>
        <w:t>在撤销授权的书面通知以前，本授权书一直有效。被授权人在授权书有效期内签署的所有文件不因授权的撤销而失效。</w:t>
      </w:r>
    </w:p>
    <w:p>
      <w:pPr>
        <w:snapToGrid w:val="0"/>
        <w:spacing w:line="360" w:lineRule="auto"/>
        <w:ind w:firstLine="480" w:firstLineChars="200"/>
        <w:rPr>
          <w:rFonts w:ascii="宋体" w:hAnsi="宋体"/>
          <w:sz w:val="24"/>
        </w:rPr>
      </w:pPr>
      <w:r>
        <w:rPr>
          <w:rFonts w:hint="eastAsia" w:ascii="宋体" w:hAnsi="宋体"/>
          <w:sz w:val="24"/>
        </w:rPr>
        <w:t>被授权人无转委托权，特此委托。</w:t>
      </w: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被授权人签名：</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法定代表人签名：</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napToGrid w:val="0"/>
        <w:spacing w:line="360" w:lineRule="auto"/>
        <w:rPr>
          <w:rFonts w:ascii="宋体" w:hAnsi="宋体"/>
          <w:sz w:val="24"/>
        </w:rPr>
      </w:pPr>
      <w:r>
        <w:rPr>
          <w:rFonts w:hint="eastAsia" w:ascii="宋体" w:hAnsi="宋体"/>
          <w:sz w:val="24"/>
        </w:rPr>
        <w:t>职        务：</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职          务：</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napToGrid w:val="0"/>
        <w:spacing w:line="360" w:lineRule="auto"/>
        <w:rPr>
          <w:rFonts w:ascii="宋体" w:hAnsi="宋体"/>
          <w:sz w:val="24"/>
          <w:u w:val="single"/>
        </w:rPr>
      </w:pPr>
      <w:r>
        <w:rPr>
          <w:rFonts w:hint="eastAsia" w:ascii="宋体" w:hAnsi="宋体"/>
          <w:sz w:val="24"/>
        </w:rPr>
        <w:t>被授权人身份证号码：</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napToGrid w:val="0"/>
        <w:spacing w:line="360" w:lineRule="auto"/>
        <w:rPr>
          <w:rFonts w:ascii="宋体" w:hAnsi="宋体"/>
          <w:sz w:val="24"/>
          <w:u w:val="single"/>
        </w:rPr>
      </w:pPr>
    </w:p>
    <w:p>
      <w:pPr>
        <w:snapToGrid w:val="0"/>
        <w:spacing w:line="360" w:lineRule="auto"/>
        <w:rPr>
          <w:rFonts w:ascii="宋体" w:hAnsi="宋体"/>
          <w:sz w:val="24"/>
          <w:u w:val="single"/>
        </w:rPr>
      </w:pPr>
      <w:r>
        <w:rPr>
          <w:rFonts w:hint="eastAsia" w:ascii="宋体" w:hAnsi="宋体"/>
          <w:sz w:val="24"/>
        </w:rPr>
        <w:t>投标人公章：</w:t>
      </w:r>
      <w:r>
        <w:rPr>
          <w:rFonts w:hint="eastAsia" w:ascii="宋体" w:hAnsi="宋体"/>
          <w:sz w:val="24"/>
          <w:u w:val="single"/>
        </w:rPr>
        <w:t xml:space="preserve">                        </w:t>
      </w:r>
    </w:p>
    <w:p>
      <w:pPr>
        <w:snapToGrid w:val="0"/>
        <w:spacing w:line="360" w:lineRule="auto"/>
        <w:rPr>
          <w:rFonts w:ascii="宋体" w:hAnsi="宋体"/>
          <w:sz w:val="24"/>
          <w:u w:val="single"/>
        </w:rPr>
        <w:sectPr>
          <w:footerReference r:id="rId9" w:type="default"/>
          <w:pgSz w:w="11906" w:h="16838"/>
          <w:pgMar w:top="1134" w:right="1134" w:bottom="1134" w:left="1134" w:header="851" w:footer="992" w:gutter="0"/>
          <w:cols w:space="720" w:num="1"/>
          <w:docGrid w:type="lines" w:linePitch="312" w:charSpace="0"/>
        </w:sectPr>
      </w:pPr>
      <w:r>
        <w:rPr>
          <w:rFonts w:ascii="宋体" w:hAnsi="宋体"/>
          <w:sz w:val="24"/>
        </w:rPr>
        <mc:AlternateContent>
          <mc:Choice Requires="wps">
            <w:drawing>
              <wp:anchor distT="0" distB="0" distL="114300" distR="114300" simplePos="0" relativeHeight="251689984" behindDoc="0" locked="0" layoutInCell="1" allowOverlap="1">
                <wp:simplePos x="0" y="0"/>
                <wp:positionH relativeFrom="column">
                  <wp:posOffset>2861310</wp:posOffset>
                </wp:positionH>
                <wp:positionV relativeFrom="paragraph">
                  <wp:posOffset>573405</wp:posOffset>
                </wp:positionV>
                <wp:extent cx="2560320" cy="1558290"/>
                <wp:effectExtent l="13335" t="11430" r="7620" b="11430"/>
                <wp:wrapNone/>
                <wp:docPr id="3" name="Rectangle 35"/>
                <wp:cNvGraphicFramePr/>
                <a:graphic xmlns:a="http://schemas.openxmlformats.org/drawingml/2006/main">
                  <a:graphicData uri="http://schemas.microsoft.com/office/word/2010/wordprocessingShape">
                    <wps:wsp>
                      <wps:cNvSpPr>
                        <a:spLocks noChangeArrowheads="1"/>
                      </wps:cNvSpPr>
                      <wps:spPr bwMode="auto">
                        <a:xfrm>
                          <a:off x="0" y="0"/>
                          <a:ext cx="2560320" cy="1558290"/>
                        </a:xfrm>
                        <a:prstGeom prst="rect">
                          <a:avLst/>
                        </a:prstGeom>
                        <a:solidFill>
                          <a:srgbClr val="FFFFFF"/>
                        </a:solidFill>
                        <a:ln w="9525">
                          <a:solidFill>
                            <a:srgbClr val="000000"/>
                          </a:solidFill>
                          <a:miter lim="800000"/>
                        </a:ln>
                      </wps:spPr>
                      <wps:txbx>
                        <w:txbxContent>
                          <w:p>
                            <w:pPr>
                              <w:jc w:val="center"/>
                            </w:pPr>
                            <w:r>
                              <w:t>被授权人身份证</w:t>
                            </w:r>
                            <w:r>
                              <w:rPr>
                                <w:rFonts w:hint="eastAsia"/>
                              </w:rPr>
                              <w:t>背</w:t>
                            </w:r>
                            <w:r>
                              <w:t>面</w:t>
                            </w:r>
                          </w:p>
                        </w:txbxContent>
                      </wps:txbx>
                      <wps:bodyPr rot="0" vert="horz" wrap="square" lIns="91440" tIns="45720" rIns="91440" bIns="45720" anchor="t" anchorCtr="0" upright="1">
                        <a:noAutofit/>
                      </wps:bodyPr>
                    </wps:wsp>
                  </a:graphicData>
                </a:graphic>
              </wp:anchor>
            </w:drawing>
          </mc:Choice>
          <mc:Fallback>
            <w:pict>
              <v:rect id="Rectangle 35" o:spid="_x0000_s1026" o:spt="1" style="position:absolute;left:0pt;margin-left:225.3pt;margin-top:45.15pt;height:122.7pt;width:201.6pt;z-index:251689984;mso-width-relative:page;mso-height-relative:page;" fillcolor="#FFFFFF" filled="t" stroked="t" coordsize="21600,21600" o:gfxdata="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wl1CLZAAAACgEAAA8AAAAAAAAAAQAgAAAAIgAAAGRycy9kb3ducmV2Lnht&#10;bFBLAQIUABQAAAAIAIdO4kCyGgUiMQIAAH8EAAAOAAAAAAAAAAEAIAAAACgBAABkcnMvZTJvRG9j&#10;LnhtbFBLBQYAAAAABgAGAFkBAADLBQAAAAA=&#10;">
                <v:fill on="t" focussize="0,0"/>
                <v:stroke color="#000000" miterlimit="8" joinstyle="miter"/>
                <v:imagedata o:title=""/>
                <o:lock v:ext="edit" aspectratio="f"/>
                <v:textbox>
                  <w:txbxContent>
                    <w:p>
                      <w:pPr>
                        <w:jc w:val="center"/>
                      </w:pPr>
                      <w:r>
                        <w:t>被授权人身份证</w:t>
                      </w:r>
                      <w:r>
                        <w:rPr>
                          <w:rFonts w:hint="eastAsia"/>
                        </w:rPr>
                        <w:t>背</w:t>
                      </w:r>
                      <w:r>
                        <w:t>面</w:t>
                      </w:r>
                    </w:p>
                  </w:txbxContent>
                </v:textbox>
              </v:rect>
            </w:pict>
          </mc:Fallback>
        </mc:AlternateContent>
      </w:r>
      <w:r>
        <w:rPr>
          <w:rFonts w:ascii="宋体" w:hAnsi="宋体"/>
          <w:sz w:val="24"/>
        </w:rPr>
        <mc:AlternateContent>
          <mc:Choice Requires="wps">
            <w:drawing>
              <wp:anchor distT="0" distB="0" distL="114300" distR="114300" simplePos="0" relativeHeight="251688960" behindDoc="0" locked="0" layoutInCell="1" allowOverlap="1">
                <wp:simplePos x="0" y="0"/>
                <wp:positionH relativeFrom="column">
                  <wp:posOffset>57150</wp:posOffset>
                </wp:positionH>
                <wp:positionV relativeFrom="paragraph">
                  <wp:posOffset>573405</wp:posOffset>
                </wp:positionV>
                <wp:extent cx="2560320" cy="1558290"/>
                <wp:effectExtent l="9525" t="11430" r="11430" b="11430"/>
                <wp:wrapNone/>
                <wp:docPr id="2" name="Rectangle 35"/>
                <wp:cNvGraphicFramePr/>
                <a:graphic xmlns:a="http://schemas.openxmlformats.org/drawingml/2006/main">
                  <a:graphicData uri="http://schemas.microsoft.com/office/word/2010/wordprocessingShape">
                    <wps:wsp>
                      <wps:cNvSpPr>
                        <a:spLocks noChangeArrowheads="1"/>
                      </wps:cNvSpPr>
                      <wps:spPr bwMode="auto">
                        <a:xfrm>
                          <a:off x="0" y="0"/>
                          <a:ext cx="2560320" cy="1558290"/>
                        </a:xfrm>
                        <a:prstGeom prst="rect">
                          <a:avLst/>
                        </a:prstGeom>
                        <a:solidFill>
                          <a:srgbClr val="FFFFFF"/>
                        </a:solidFill>
                        <a:ln w="9525">
                          <a:solidFill>
                            <a:srgbClr val="000000"/>
                          </a:solidFill>
                          <a:miter lim="800000"/>
                        </a:ln>
                      </wps:spPr>
                      <wps:txbx>
                        <w:txbxContent>
                          <w:p>
                            <w:pPr>
                              <w:jc w:val="center"/>
                            </w:pPr>
                            <w:r>
                              <w:t>被授权人身份证正面</w:t>
                            </w:r>
                          </w:p>
                        </w:txbxContent>
                      </wps:txbx>
                      <wps:bodyPr rot="0" vert="horz" wrap="square" lIns="91440" tIns="45720" rIns="91440" bIns="45720" anchor="t" anchorCtr="0" upright="1">
                        <a:noAutofit/>
                      </wps:bodyPr>
                    </wps:wsp>
                  </a:graphicData>
                </a:graphic>
              </wp:anchor>
            </w:drawing>
          </mc:Choice>
          <mc:Fallback>
            <w:pict>
              <v:rect id="Rectangle 35" o:spid="_x0000_s1026" o:spt="1" style="position:absolute;left:0pt;margin-left:4.5pt;margin-top:45.15pt;height:122.7pt;width:201.6pt;z-index:251688960;mso-width-relative:page;mso-height-relative:page;" fillcolor="#FFFFFF" filled="t" stroked="t" coordsize="21600,21600" o:gfxdata="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42Agv1wAAAAgBAAAPAAAAAAAAAAEAIAAAACIAAABkcnMvZG93bnJldi54bWxQ&#10;SwECFAAUAAAACACHTuJAh7zuzTECAAB/BAAADgAAAAAAAAABACAAAAAmAQAAZHJzL2Uyb0RvYy54&#10;bWxQSwUGAAAAAAYABgBZAQAAyQUAAAAA&#10;">
                <v:fill on="t" focussize="0,0"/>
                <v:stroke color="#000000" miterlimit="8" joinstyle="miter"/>
                <v:imagedata o:title=""/>
                <o:lock v:ext="edit" aspectratio="f"/>
                <v:textbox>
                  <w:txbxContent>
                    <w:p>
                      <w:pPr>
                        <w:jc w:val="center"/>
                      </w:pPr>
                      <w:r>
                        <w:t>被授权人身份证正面</w:t>
                      </w:r>
                    </w:p>
                  </w:txbxContent>
                </v:textbox>
              </v:rect>
            </w:pict>
          </mc:Fallback>
        </mc:AlternateContent>
      </w:r>
      <w:r>
        <w:rPr>
          <w:rFonts w:hint="eastAsia" w:ascii="宋体" w:hAnsi="宋体"/>
          <w:sz w:val="24"/>
        </w:rPr>
        <w:t>签署时间：     年     月     日</w:t>
      </w:r>
    </w:p>
    <w:p>
      <w:pPr>
        <w:pStyle w:val="19"/>
        <w:rPr>
          <w:rFonts w:ascii="仿宋_GB2312" w:hAnsi="宋体" w:eastAsia="仿宋_GB2312"/>
          <w:bCs w:val="0"/>
          <w:kern w:val="2"/>
          <w:sz w:val="44"/>
          <w:szCs w:val="44"/>
        </w:rPr>
      </w:pPr>
      <w:r>
        <w:rPr>
          <w:rFonts w:hint="eastAsia" w:ascii="仿宋_GB2312" w:hAnsi="宋体" w:eastAsia="仿宋_GB2312"/>
          <w:bCs w:val="0"/>
          <w:kern w:val="2"/>
          <w:sz w:val="44"/>
          <w:szCs w:val="44"/>
        </w:rPr>
        <w:t>开标一览表</w:t>
      </w:r>
    </w:p>
    <w:p>
      <w:pPr>
        <w:spacing w:line="360" w:lineRule="auto"/>
        <w:jc w:val="center"/>
        <w:rPr>
          <w:rFonts w:ascii="仿宋_GB2312" w:hAnsi="宋体" w:eastAsia="仿宋_GB2312"/>
          <w:b/>
          <w:bCs/>
          <w:sz w:val="44"/>
          <w:szCs w:val="44"/>
        </w:rPr>
      </w:pPr>
      <w:r>
        <w:rPr>
          <w:rFonts w:hint="eastAsia" w:ascii="仿宋_GB2312" w:hAnsi="宋体" w:eastAsia="仿宋_GB2312"/>
          <w:b/>
          <w:sz w:val="44"/>
          <w:szCs w:val="44"/>
        </w:rPr>
        <w:t xml:space="preserve">中药配方颗粒采购  </w:t>
      </w:r>
      <w:r>
        <w:rPr>
          <w:rFonts w:hint="eastAsia" w:ascii="仿宋_GB2312" w:hAnsi="宋体" w:eastAsia="仿宋_GB2312"/>
          <w:b/>
          <w:bCs/>
          <w:sz w:val="44"/>
          <w:szCs w:val="44"/>
        </w:rPr>
        <w:t>投标报价表</w:t>
      </w: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443"/>
        <w:gridCol w:w="4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2835" w:type="dxa"/>
            <w:shd w:val="clear" w:color="auto" w:fill="D9D9D9"/>
            <w:vAlign w:val="center"/>
          </w:tcPr>
          <w:p>
            <w:pPr>
              <w:adjustRightInd w:val="0"/>
              <w:snapToGrid w:val="0"/>
              <w:spacing w:line="360" w:lineRule="auto"/>
              <w:jc w:val="center"/>
              <w:rPr>
                <w:rFonts w:ascii="仿宋_GB2312" w:hAnsi="宋体" w:eastAsia="仿宋_GB2312"/>
                <w:sz w:val="28"/>
                <w:szCs w:val="28"/>
              </w:rPr>
            </w:pPr>
            <w:r>
              <w:rPr>
                <w:rFonts w:hint="eastAsia" w:ascii="仿宋_GB2312" w:hAnsi="宋体" w:eastAsia="仿宋_GB2312"/>
                <w:sz w:val="28"/>
                <w:szCs w:val="28"/>
              </w:rPr>
              <w:t>招标内容</w:t>
            </w:r>
          </w:p>
        </w:tc>
        <w:tc>
          <w:tcPr>
            <w:tcW w:w="5786" w:type="dxa"/>
            <w:gridSpan w:val="2"/>
            <w:shd w:val="clear" w:color="auto" w:fill="D9D9D9"/>
            <w:vAlign w:val="center"/>
          </w:tcPr>
          <w:p>
            <w:pPr>
              <w:adjustRightInd w:val="0"/>
              <w:snapToGrid w:val="0"/>
              <w:spacing w:line="360" w:lineRule="auto"/>
              <w:jc w:val="center"/>
              <w:rPr>
                <w:rFonts w:ascii="仿宋_GB2312" w:hAnsi="宋体" w:eastAsia="仿宋_GB2312"/>
                <w:sz w:val="28"/>
                <w:szCs w:val="28"/>
              </w:rPr>
            </w:pPr>
            <w:r>
              <w:rPr>
                <w:rFonts w:hint="eastAsia" w:ascii="仿宋_GB2312" w:hAnsi="宋体" w:eastAsia="仿宋_GB2312"/>
                <w:b/>
                <w:kern w:val="0"/>
                <w:sz w:val="24"/>
              </w:rPr>
              <w:t>配方颗粒报价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2835" w:type="dxa"/>
            <w:vMerge w:val="restart"/>
            <w:vAlign w:val="center"/>
          </w:tcPr>
          <w:p>
            <w:pPr>
              <w:adjustRightInd w:val="0"/>
              <w:snapToGrid w:val="0"/>
              <w:spacing w:line="360" w:lineRule="auto"/>
              <w:jc w:val="center"/>
              <w:rPr>
                <w:rFonts w:ascii="仿宋" w:hAnsi="仿宋" w:eastAsia="仿宋" w:cs="宋体"/>
                <w:iCs/>
                <w:lang w:val="zh-CN"/>
              </w:rPr>
            </w:pPr>
            <w:r>
              <w:rPr>
                <w:rFonts w:hint="eastAsia" w:ascii="仿宋" w:hAnsi="仿宋" w:eastAsia="仿宋" w:cs="宋体"/>
                <w:iCs/>
                <w:lang w:val="zh-CN"/>
              </w:rPr>
              <w:t>中药配方颗粒及相关伴随服务项目</w:t>
            </w:r>
          </w:p>
        </w:tc>
        <w:tc>
          <w:tcPr>
            <w:tcW w:w="1443" w:type="dxa"/>
            <w:vAlign w:val="center"/>
          </w:tcPr>
          <w:p>
            <w:pPr>
              <w:adjustRightInd w:val="0"/>
              <w:snapToGrid w:val="0"/>
              <w:spacing w:line="360" w:lineRule="auto"/>
              <w:jc w:val="center"/>
              <w:rPr>
                <w:rFonts w:ascii="仿宋" w:hAnsi="仿宋" w:eastAsia="仿宋" w:cs="宋体"/>
                <w:iCs/>
              </w:rPr>
            </w:pPr>
            <w:r>
              <w:rPr>
                <w:rFonts w:hint="eastAsia" w:ascii="仿宋" w:hAnsi="仿宋" w:eastAsia="仿宋" w:cs="宋体"/>
                <w:iCs/>
              </w:rPr>
              <w:t>小写</w:t>
            </w:r>
          </w:p>
        </w:tc>
        <w:tc>
          <w:tcPr>
            <w:tcW w:w="4343" w:type="dxa"/>
            <w:vAlign w:val="center"/>
          </w:tcPr>
          <w:p>
            <w:pPr>
              <w:adjustRightInd w:val="0"/>
              <w:snapToGrid w:val="0"/>
              <w:spacing w:line="360" w:lineRule="auto"/>
              <w:jc w:val="center"/>
              <w:rPr>
                <w:rFonts w:ascii="仿宋" w:hAnsi="仿宋" w:eastAsia="仿宋" w:cs="宋体"/>
                <w:iCs/>
              </w:rPr>
            </w:pPr>
            <w:r>
              <w:rPr>
                <w:rFonts w:hint="eastAsia" w:ascii="仿宋" w:hAnsi="仿宋" w:eastAsia="仿宋" w:cs="宋体"/>
                <w:i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2835" w:type="dxa"/>
            <w:vMerge w:val="continue"/>
            <w:vAlign w:val="center"/>
          </w:tcPr>
          <w:p>
            <w:pPr>
              <w:adjustRightInd w:val="0"/>
              <w:snapToGrid w:val="0"/>
              <w:spacing w:line="360" w:lineRule="auto"/>
              <w:jc w:val="center"/>
              <w:rPr>
                <w:rFonts w:ascii="仿宋" w:hAnsi="仿宋" w:eastAsia="仿宋" w:cs="宋体"/>
                <w:iCs/>
                <w:lang w:val="zh-CN"/>
              </w:rPr>
            </w:pPr>
          </w:p>
        </w:tc>
        <w:tc>
          <w:tcPr>
            <w:tcW w:w="1443" w:type="dxa"/>
            <w:vAlign w:val="center"/>
          </w:tcPr>
          <w:p>
            <w:pPr>
              <w:adjustRightInd w:val="0"/>
              <w:snapToGrid w:val="0"/>
              <w:spacing w:line="360" w:lineRule="auto"/>
              <w:jc w:val="center"/>
              <w:rPr>
                <w:rFonts w:ascii="仿宋" w:hAnsi="仿宋" w:eastAsia="仿宋" w:cs="宋体"/>
                <w:iCs/>
              </w:rPr>
            </w:pPr>
            <w:r>
              <w:rPr>
                <w:rFonts w:hint="eastAsia" w:ascii="仿宋" w:hAnsi="仿宋" w:eastAsia="仿宋" w:cs="宋体"/>
                <w:iCs/>
              </w:rPr>
              <w:t>大写</w:t>
            </w:r>
          </w:p>
        </w:tc>
        <w:tc>
          <w:tcPr>
            <w:tcW w:w="4343" w:type="dxa"/>
            <w:vAlign w:val="center"/>
          </w:tcPr>
          <w:p>
            <w:pPr>
              <w:adjustRightInd w:val="0"/>
              <w:snapToGrid w:val="0"/>
              <w:spacing w:line="360" w:lineRule="auto"/>
              <w:ind w:firstLine="1260" w:firstLineChars="600"/>
              <w:rPr>
                <w:rFonts w:ascii="仿宋" w:hAnsi="仿宋" w:eastAsia="仿宋" w:cs="宋体"/>
                <w:iCs/>
              </w:rPr>
            </w:pPr>
            <w:r>
              <w:rPr>
                <w:rFonts w:hint="eastAsia" w:ascii="仿宋" w:hAnsi="仿宋" w:eastAsia="仿宋" w:cs="宋体"/>
                <w:iCs/>
              </w:rPr>
              <w:t>百分之</w:t>
            </w:r>
          </w:p>
        </w:tc>
      </w:tr>
    </w:tbl>
    <w:p>
      <w:pPr>
        <w:adjustRightInd w:val="0"/>
        <w:snapToGrid w:val="0"/>
        <w:spacing w:line="360" w:lineRule="auto"/>
        <w:rPr>
          <w:rFonts w:ascii="仿宋_GB2312" w:hAnsi="宋体" w:eastAsia="仿宋_GB2312"/>
          <w:sz w:val="28"/>
          <w:szCs w:val="28"/>
        </w:rPr>
      </w:pPr>
    </w:p>
    <w:p>
      <w:pPr>
        <w:spacing w:line="360" w:lineRule="auto"/>
        <w:jc w:val="left"/>
        <w:rPr>
          <w:rFonts w:ascii="仿宋_GB2312" w:hAnsi="宋体" w:eastAsia="仿宋_GB2312"/>
          <w:sz w:val="24"/>
        </w:rPr>
      </w:pPr>
      <w:r>
        <w:rPr>
          <w:rFonts w:hint="eastAsia" w:ascii="仿宋_GB2312" w:hAnsi="宋体" w:eastAsia="仿宋_GB2312"/>
          <w:sz w:val="24"/>
        </w:rPr>
        <w:t>注: （1）参照绍兴市医药行业协会发布的中药配方颗粒</w:t>
      </w:r>
      <w:r>
        <w:rPr>
          <w:rFonts w:hint="eastAsia" w:ascii="仿宋_GB2312" w:hAnsi="宋体" w:eastAsia="仿宋_GB2312"/>
          <w:b/>
          <w:bCs/>
          <w:sz w:val="24"/>
        </w:rPr>
        <w:t>最高零售价</w:t>
      </w:r>
      <w:r>
        <w:rPr>
          <w:rFonts w:hint="eastAsia" w:ascii="仿宋_GB2312" w:hAnsi="宋体" w:eastAsia="仿宋_GB2312"/>
          <w:sz w:val="24"/>
        </w:rPr>
        <w:t>为基础，按统一扣率报价且不得超出80%。</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（2）报价一经涂改，应在涂改处加盖单位公章或者由法定代表人或授权委托人签字或盖章，否则其投标作无效标处理。</w:t>
      </w:r>
    </w:p>
    <w:p>
      <w:pPr>
        <w:spacing w:line="360" w:lineRule="auto"/>
        <w:jc w:val="left"/>
        <w:rPr>
          <w:rFonts w:ascii="仿宋_GB2312" w:hAnsi="宋体" w:eastAsia="仿宋_GB2312"/>
          <w:kern w:val="0"/>
          <w:sz w:val="24"/>
        </w:rPr>
      </w:pPr>
      <w:r>
        <w:rPr>
          <w:rFonts w:hint="eastAsia" w:ascii="仿宋_GB2312" w:hAnsi="宋体" w:eastAsia="仿宋_GB2312"/>
          <w:sz w:val="24"/>
        </w:rPr>
        <w:t xml:space="preserve">    （3）大写报价与小写报价不一致时，以大写金额为准。</w:t>
      </w:r>
    </w:p>
    <w:p>
      <w:pPr>
        <w:spacing w:line="360" w:lineRule="auto"/>
        <w:jc w:val="left"/>
        <w:rPr>
          <w:rFonts w:ascii="仿宋_GB2312" w:hAnsi="宋体" w:eastAsia="仿宋_GB2312"/>
          <w:sz w:val="24"/>
        </w:rPr>
      </w:pPr>
    </w:p>
    <w:p>
      <w:pPr>
        <w:spacing w:line="360" w:lineRule="auto"/>
        <w:jc w:val="left"/>
        <w:rPr>
          <w:rFonts w:ascii="仿宋_GB2312" w:hAnsi="宋体" w:eastAsia="仿宋_GB2312"/>
          <w:sz w:val="24"/>
        </w:rPr>
      </w:pPr>
    </w:p>
    <w:p>
      <w:pPr>
        <w:spacing w:line="360" w:lineRule="auto"/>
        <w:ind w:left="-2" w:leftChars="-1" w:right="-817" w:rightChars="-389" w:firstLine="240" w:firstLineChars="100"/>
        <w:rPr>
          <w:rFonts w:ascii="仿宋_GB2312" w:hAnsi="宋体" w:eastAsia="仿宋_GB2312"/>
          <w:sz w:val="24"/>
        </w:rPr>
      </w:pPr>
      <w:r>
        <w:rPr>
          <w:rFonts w:hint="eastAsia" w:ascii="仿宋_GB2312" w:hAnsi="宋体" w:eastAsia="仿宋_GB2312"/>
          <w:sz w:val="24"/>
        </w:rPr>
        <w:t>投标人名称（盖章）：</w:t>
      </w:r>
    </w:p>
    <w:p>
      <w:pPr>
        <w:spacing w:line="360" w:lineRule="auto"/>
        <w:ind w:left="-2" w:leftChars="-1" w:right="-817" w:rightChars="-389" w:firstLine="240" w:firstLineChars="100"/>
        <w:rPr>
          <w:rFonts w:ascii="仿宋_GB2312" w:hAnsi="宋体" w:eastAsia="仿宋_GB2312"/>
          <w:sz w:val="24"/>
        </w:rPr>
      </w:pPr>
      <w:r>
        <w:rPr>
          <w:rFonts w:hint="eastAsia" w:ascii="仿宋_GB2312" w:hAnsi="宋体" w:eastAsia="仿宋_GB2312"/>
          <w:sz w:val="24"/>
        </w:rPr>
        <w:t>法定代表人或授权委托人（签字或盖章）：</w:t>
      </w:r>
    </w:p>
    <w:p>
      <w:pPr>
        <w:spacing w:line="360" w:lineRule="auto"/>
        <w:ind w:left="5743" w:leftChars="2735" w:right="-817" w:rightChars="-389" w:firstLine="4830" w:firstLineChars="2300"/>
      </w:pPr>
    </w:p>
    <w:p>
      <w:pPr>
        <w:spacing w:line="360" w:lineRule="auto"/>
        <w:ind w:left="5848" w:leftChars="2785" w:right="-897" w:rightChars="-427" w:firstLine="4725" w:firstLineChars="2250"/>
        <w:rPr>
          <w:rFonts w:ascii="仿宋_GB2312" w:hAnsi="宋体" w:eastAsia="仿宋_GB2312"/>
          <w:sz w:val="24"/>
        </w:rPr>
      </w:pPr>
      <w:r>
        <w:rPr>
          <w:rFonts w:hint="eastAsia"/>
        </w:rPr>
        <w:t xml:space="preserve"> </w:t>
      </w:r>
      <w:r>
        <w:rPr>
          <w:rFonts w:hint="eastAsia" w:ascii="仿宋_GB2312" w:hAnsi="宋体" w:eastAsia="仿宋_GB2312"/>
          <w:sz w:val="24"/>
        </w:rPr>
        <w:t>日  期：    年   月   日</w:t>
      </w:r>
    </w:p>
    <w:p>
      <w:pPr>
        <w:spacing w:line="360" w:lineRule="auto"/>
        <w:ind w:right="-897" w:rightChars="-427"/>
        <w:rPr>
          <w:rFonts w:ascii="仿宋_GB2312" w:hAnsi="宋体" w:eastAsia="仿宋_GB2312"/>
          <w:sz w:val="24"/>
        </w:rPr>
      </w:pPr>
    </w:p>
    <w:sectPr>
      <w:footerReference r:id="rId10" w:type="default"/>
      <w:pgSz w:w="11906" w:h="16838"/>
      <w:pgMar w:top="1531" w:right="1418" w:bottom="1418"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MingLiU">
    <w:altName w:val="PMingLiU-ExtB"/>
    <w:panose1 w:val="02010609000101010101"/>
    <w:charset w:val="88"/>
    <w:family w:val="modern"/>
    <w:pitch w:val="default"/>
    <w:sig w:usb0="00000000" w:usb1="00000000" w:usb2="00000016" w:usb3="00000000" w:csb0="00100001" w:csb1="00000000"/>
  </w:font>
  <w:font w:name="FrankRuehl">
    <w:altName w:val="Segoe Print"/>
    <w:panose1 w:val="00000000000000000000"/>
    <w:charset w:val="B1"/>
    <w:family w:val="swiss"/>
    <w:pitch w:val="default"/>
    <w:sig w:usb0="00000000" w:usb1="00000000" w:usb2="00000000" w:usb3="00000000" w:csb0="00000021"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HAKUYOCaoShu3500">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简体">
    <w:altName w:val="黑体"/>
    <w:panose1 w:val="00000000000000000000"/>
    <w:charset w:val="86"/>
    <w:family w:val="auto"/>
    <w:pitch w:val="default"/>
    <w:sig w:usb0="00000000" w:usb1="00000000" w:usb2="00000000" w:usb3="00000000" w:csb0="0006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9"/>
      </w:rPr>
    </w:pPr>
    <w:r>
      <w:fldChar w:fldCharType="begin"/>
    </w:r>
    <w:r>
      <w:rPr>
        <w:rStyle w:val="29"/>
      </w:rPr>
      <w:instrText xml:space="preserve">PAGE  </w:instrText>
    </w:r>
    <w: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duMMtAgAAVw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okQzhYqfvn87&#10;/fh1+vmV4AwCtdbPEPdgERm6t6ZD2wznHoeRd1c5Fb9gROCHvMeLvKILhMdL08l0msPF4Rs2wM8e&#10;r1vnwzthFIlGQR3ql2Rlh40PfegQErNps26kTDWUmrQFvb56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uduMMtAgAAVwQAAA4AAAAAAAAAAQAgAAAAHwEAAGRycy9lMm9Eb2MueG1sUEsFBgAAAAAG&#10;AAYAWQEAAL4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43</w:t>
                    </w:r>
                    <w:r>
                      <w:fldChar w:fldCharType="end"/>
                    </w:r>
                  </w:p>
                </w:txbxContent>
              </v:textbox>
            </v:shape>
          </w:pict>
        </mc:Fallback>
      </mc:AlternateConten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43</w:t>
                    </w:r>
                    <w:r>
                      <w:fldChar w:fldCharType="end"/>
                    </w:r>
                  </w:p>
                </w:txbxContent>
              </v:textbox>
            </v:shape>
          </w:pict>
        </mc:Fallback>
      </mc:AlternateContent>
    </w:r>
  </w:p>
  <w:p>
    <w:pPr>
      <w:pStyle w:val="1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44</w:t>
                    </w:r>
                    <w:r>
                      <w:fldChar w:fldCharType="end"/>
                    </w:r>
                  </w:p>
                </w:txbxContent>
              </v:textbox>
            </v:shape>
          </w:pict>
        </mc:Fallback>
      </mc:AlternateContent>
    </w:r>
  </w:p>
  <w:p>
    <w:pPr>
      <w:pStyle w:val="1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9"/>
      </w:rPr>
    </w:pPr>
    <w:r>
      <w:fldChar w:fldCharType="begin"/>
    </w:r>
    <w:r>
      <w:rPr>
        <w:rStyle w:val="29"/>
      </w:rPr>
      <w:instrText xml:space="preserve">PAGE  </w:instrText>
    </w:r>
    <w:r>
      <w:fldChar w:fldCharType="end"/>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C0DC41"/>
    <w:multiLevelType w:val="singleLevel"/>
    <w:tmpl w:val="CBC0DC41"/>
    <w:lvl w:ilvl="0" w:tentative="0">
      <w:start w:val="1"/>
      <w:numFmt w:val="decimal"/>
      <w:lvlText w:val="%1."/>
      <w:lvlJc w:val="left"/>
      <w:pPr>
        <w:tabs>
          <w:tab w:val="left" w:pos="312"/>
        </w:tabs>
      </w:pPr>
    </w:lvl>
  </w:abstractNum>
  <w:abstractNum w:abstractNumId="1">
    <w:nsid w:val="FA48D433"/>
    <w:multiLevelType w:val="singleLevel"/>
    <w:tmpl w:val="FA48D433"/>
    <w:lvl w:ilvl="0" w:tentative="0">
      <w:start w:val="1"/>
      <w:numFmt w:val="decimal"/>
      <w:suff w:val="nothing"/>
      <w:lvlText w:val="（%1）"/>
      <w:lvlJc w:val="left"/>
    </w:lvl>
  </w:abstractNum>
  <w:abstractNum w:abstractNumId="2">
    <w:nsid w:val="1526EF26"/>
    <w:multiLevelType w:val="singleLevel"/>
    <w:tmpl w:val="1526EF26"/>
    <w:lvl w:ilvl="0" w:tentative="0">
      <w:start w:val="1"/>
      <w:numFmt w:val="decimal"/>
      <w:suff w:val="nothing"/>
      <w:lvlText w:val="（%1）"/>
      <w:lvlJc w:val="left"/>
    </w:lvl>
  </w:abstractNum>
  <w:abstractNum w:abstractNumId="3">
    <w:nsid w:val="7DCE612B"/>
    <w:multiLevelType w:val="singleLevel"/>
    <w:tmpl w:val="7DCE612B"/>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hkZDk0Yzg1MGVkNjUyZGQ5YWM3Nzg4ZmQwNjA0Y2UifQ=="/>
  </w:docVars>
  <w:rsids>
    <w:rsidRoot w:val="0092510F"/>
    <w:rsid w:val="00001074"/>
    <w:rsid w:val="00001B4E"/>
    <w:rsid w:val="000024F7"/>
    <w:rsid w:val="00004417"/>
    <w:rsid w:val="00004D1A"/>
    <w:rsid w:val="000068A9"/>
    <w:rsid w:val="000103F2"/>
    <w:rsid w:val="00010EB8"/>
    <w:rsid w:val="0001332B"/>
    <w:rsid w:val="00013EF7"/>
    <w:rsid w:val="0001460D"/>
    <w:rsid w:val="0001629D"/>
    <w:rsid w:val="00016A5F"/>
    <w:rsid w:val="00030309"/>
    <w:rsid w:val="00030D73"/>
    <w:rsid w:val="00032B19"/>
    <w:rsid w:val="00034FD2"/>
    <w:rsid w:val="0004086D"/>
    <w:rsid w:val="00040D0F"/>
    <w:rsid w:val="00041F52"/>
    <w:rsid w:val="00046359"/>
    <w:rsid w:val="000479BC"/>
    <w:rsid w:val="0005153C"/>
    <w:rsid w:val="000559F3"/>
    <w:rsid w:val="000574AA"/>
    <w:rsid w:val="00060BF5"/>
    <w:rsid w:val="00064A3A"/>
    <w:rsid w:val="000671E7"/>
    <w:rsid w:val="00067490"/>
    <w:rsid w:val="00070EB5"/>
    <w:rsid w:val="00076B96"/>
    <w:rsid w:val="00080EE4"/>
    <w:rsid w:val="000812BF"/>
    <w:rsid w:val="00085A8F"/>
    <w:rsid w:val="00086F04"/>
    <w:rsid w:val="000879DE"/>
    <w:rsid w:val="000A1170"/>
    <w:rsid w:val="000A2C33"/>
    <w:rsid w:val="000A2F87"/>
    <w:rsid w:val="000B3FE6"/>
    <w:rsid w:val="000B419E"/>
    <w:rsid w:val="000B52D4"/>
    <w:rsid w:val="000B53DB"/>
    <w:rsid w:val="000B5745"/>
    <w:rsid w:val="000C1B77"/>
    <w:rsid w:val="000C2588"/>
    <w:rsid w:val="000C31A4"/>
    <w:rsid w:val="000C402B"/>
    <w:rsid w:val="000C5839"/>
    <w:rsid w:val="000D1EB0"/>
    <w:rsid w:val="000D4073"/>
    <w:rsid w:val="000D7A5E"/>
    <w:rsid w:val="000E092C"/>
    <w:rsid w:val="000E2C73"/>
    <w:rsid w:val="000F2999"/>
    <w:rsid w:val="000F5A12"/>
    <w:rsid w:val="00100539"/>
    <w:rsid w:val="00100C4A"/>
    <w:rsid w:val="00100D2D"/>
    <w:rsid w:val="001013FF"/>
    <w:rsid w:val="00104DD0"/>
    <w:rsid w:val="001068D9"/>
    <w:rsid w:val="00107EF9"/>
    <w:rsid w:val="001103AB"/>
    <w:rsid w:val="001140DB"/>
    <w:rsid w:val="00123404"/>
    <w:rsid w:val="001248F3"/>
    <w:rsid w:val="00127B23"/>
    <w:rsid w:val="00131DC9"/>
    <w:rsid w:val="00133136"/>
    <w:rsid w:val="00146D0B"/>
    <w:rsid w:val="001477AA"/>
    <w:rsid w:val="001506D2"/>
    <w:rsid w:val="00152125"/>
    <w:rsid w:val="00156833"/>
    <w:rsid w:val="001624CE"/>
    <w:rsid w:val="00163F32"/>
    <w:rsid w:val="00163FA0"/>
    <w:rsid w:val="00166C8B"/>
    <w:rsid w:val="0016716C"/>
    <w:rsid w:val="00167352"/>
    <w:rsid w:val="0016736B"/>
    <w:rsid w:val="00170AAA"/>
    <w:rsid w:val="00174D8F"/>
    <w:rsid w:val="0017583B"/>
    <w:rsid w:val="001866D9"/>
    <w:rsid w:val="0018713B"/>
    <w:rsid w:val="00191F0F"/>
    <w:rsid w:val="00197748"/>
    <w:rsid w:val="00197ED4"/>
    <w:rsid w:val="001A5BFC"/>
    <w:rsid w:val="001B2068"/>
    <w:rsid w:val="001B3699"/>
    <w:rsid w:val="001B4874"/>
    <w:rsid w:val="001B6FB9"/>
    <w:rsid w:val="001C04FF"/>
    <w:rsid w:val="001C0820"/>
    <w:rsid w:val="001C19E9"/>
    <w:rsid w:val="001C24A3"/>
    <w:rsid w:val="001C6A36"/>
    <w:rsid w:val="001C6D3A"/>
    <w:rsid w:val="001D1BE0"/>
    <w:rsid w:val="001D47B9"/>
    <w:rsid w:val="001D6022"/>
    <w:rsid w:val="001D6574"/>
    <w:rsid w:val="001D7EDD"/>
    <w:rsid w:val="001F6D28"/>
    <w:rsid w:val="001F7F56"/>
    <w:rsid w:val="00200137"/>
    <w:rsid w:val="00201855"/>
    <w:rsid w:val="00203974"/>
    <w:rsid w:val="00204831"/>
    <w:rsid w:val="0020510F"/>
    <w:rsid w:val="002111BD"/>
    <w:rsid w:val="00222123"/>
    <w:rsid w:val="00223F84"/>
    <w:rsid w:val="00231E08"/>
    <w:rsid w:val="0023394C"/>
    <w:rsid w:val="00234B8D"/>
    <w:rsid w:val="00235A83"/>
    <w:rsid w:val="002363E0"/>
    <w:rsid w:val="002406B8"/>
    <w:rsid w:val="00241408"/>
    <w:rsid w:val="00250C69"/>
    <w:rsid w:val="002565C6"/>
    <w:rsid w:val="00256B2E"/>
    <w:rsid w:val="002601D8"/>
    <w:rsid w:val="0026358D"/>
    <w:rsid w:val="00264847"/>
    <w:rsid w:val="002662E5"/>
    <w:rsid w:val="0026633C"/>
    <w:rsid w:val="002670B2"/>
    <w:rsid w:val="00267AD8"/>
    <w:rsid w:val="002703C5"/>
    <w:rsid w:val="00272FA2"/>
    <w:rsid w:val="0028261B"/>
    <w:rsid w:val="00283ED5"/>
    <w:rsid w:val="0028429F"/>
    <w:rsid w:val="00293718"/>
    <w:rsid w:val="00294327"/>
    <w:rsid w:val="002944E6"/>
    <w:rsid w:val="002A0C4E"/>
    <w:rsid w:val="002A4C57"/>
    <w:rsid w:val="002A6AB5"/>
    <w:rsid w:val="002A78DF"/>
    <w:rsid w:val="002A7A68"/>
    <w:rsid w:val="002B1C29"/>
    <w:rsid w:val="002C7294"/>
    <w:rsid w:val="002C7E26"/>
    <w:rsid w:val="002D13C5"/>
    <w:rsid w:val="002D3F23"/>
    <w:rsid w:val="002D5F56"/>
    <w:rsid w:val="002D6755"/>
    <w:rsid w:val="002E1853"/>
    <w:rsid w:val="002E2346"/>
    <w:rsid w:val="002F02FC"/>
    <w:rsid w:val="002F07F3"/>
    <w:rsid w:val="002F39F6"/>
    <w:rsid w:val="002F4DC6"/>
    <w:rsid w:val="003033A0"/>
    <w:rsid w:val="003035A3"/>
    <w:rsid w:val="00321512"/>
    <w:rsid w:val="0032421E"/>
    <w:rsid w:val="003316F6"/>
    <w:rsid w:val="003517AC"/>
    <w:rsid w:val="00353783"/>
    <w:rsid w:val="0035594E"/>
    <w:rsid w:val="003631CF"/>
    <w:rsid w:val="003643E1"/>
    <w:rsid w:val="00364C2B"/>
    <w:rsid w:val="00364CA0"/>
    <w:rsid w:val="0036562D"/>
    <w:rsid w:val="00371283"/>
    <w:rsid w:val="003758A0"/>
    <w:rsid w:val="00375BFD"/>
    <w:rsid w:val="00381C45"/>
    <w:rsid w:val="003834AD"/>
    <w:rsid w:val="00386B65"/>
    <w:rsid w:val="00392BC1"/>
    <w:rsid w:val="003A138F"/>
    <w:rsid w:val="003A371B"/>
    <w:rsid w:val="003A7D3D"/>
    <w:rsid w:val="003C38F5"/>
    <w:rsid w:val="003C4D78"/>
    <w:rsid w:val="003C6A3D"/>
    <w:rsid w:val="003C6AD7"/>
    <w:rsid w:val="003D0A86"/>
    <w:rsid w:val="003D57B6"/>
    <w:rsid w:val="003E4A51"/>
    <w:rsid w:val="003F06E3"/>
    <w:rsid w:val="003F5406"/>
    <w:rsid w:val="004009F4"/>
    <w:rsid w:val="00401BD9"/>
    <w:rsid w:val="004064D1"/>
    <w:rsid w:val="00410872"/>
    <w:rsid w:val="00415854"/>
    <w:rsid w:val="00416290"/>
    <w:rsid w:val="00421661"/>
    <w:rsid w:val="00422F80"/>
    <w:rsid w:val="004275F2"/>
    <w:rsid w:val="00427C21"/>
    <w:rsid w:val="00433D10"/>
    <w:rsid w:val="00437744"/>
    <w:rsid w:val="00441056"/>
    <w:rsid w:val="00442AB7"/>
    <w:rsid w:val="004445B9"/>
    <w:rsid w:val="0044460A"/>
    <w:rsid w:val="004454CB"/>
    <w:rsid w:val="00451728"/>
    <w:rsid w:val="00453531"/>
    <w:rsid w:val="00453D43"/>
    <w:rsid w:val="00454428"/>
    <w:rsid w:val="00460D0B"/>
    <w:rsid w:val="0046674D"/>
    <w:rsid w:val="0047309E"/>
    <w:rsid w:val="004827A4"/>
    <w:rsid w:val="004832CC"/>
    <w:rsid w:val="004849C9"/>
    <w:rsid w:val="004913C4"/>
    <w:rsid w:val="00497989"/>
    <w:rsid w:val="00497BCB"/>
    <w:rsid w:val="004A109D"/>
    <w:rsid w:val="004A1272"/>
    <w:rsid w:val="004A1FD0"/>
    <w:rsid w:val="004B0FC1"/>
    <w:rsid w:val="004B1BE2"/>
    <w:rsid w:val="004B1E1D"/>
    <w:rsid w:val="004B2D53"/>
    <w:rsid w:val="004B3A25"/>
    <w:rsid w:val="004C1450"/>
    <w:rsid w:val="004C3D08"/>
    <w:rsid w:val="004C5DFB"/>
    <w:rsid w:val="004D1732"/>
    <w:rsid w:val="004D2C84"/>
    <w:rsid w:val="004D43EA"/>
    <w:rsid w:val="004D5F54"/>
    <w:rsid w:val="004E0C9B"/>
    <w:rsid w:val="005024C1"/>
    <w:rsid w:val="00502548"/>
    <w:rsid w:val="00510136"/>
    <w:rsid w:val="0052174D"/>
    <w:rsid w:val="0052789C"/>
    <w:rsid w:val="005278DB"/>
    <w:rsid w:val="00530B2D"/>
    <w:rsid w:val="00532531"/>
    <w:rsid w:val="0053370F"/>
    <w:rsid w:val="005343C9"/>
    <w:rsid w:val="005364EA"/>
    <w:rsid w:val="005377CD"/>
    <w:rsid w:val="00543D2D"/>
    <w:rsid w:val="0054417A"/>
    <w:rsid w:val="00545F36"/>
    <w:rsid w:val="005465CE"/>
    <w:rsid w:val="00546CAA"/>
    <w:rsid w:val="005517EF"/>
    <w:rsid w:val="0055742C"/>
    <w:rsid w:val="00563D09"/>
    <w:rsid w:val="0056634E"/>
    <w:rsid w:val="005706B6"/>
    <w:rsid w:val="0057081E"/>
    <w:rsid w:val="00571EF0"/>
    <w:rsid w:val="00590429"/>
    <w:rsid w:val="00593C63"/>
    <w:rsid w:val="005947B9"/>
    <w:rsid w:val="005A22D1"/>
    <w:rsid w:val="005B2A6C"/>
    <w:rsid w:val="005B2B33"/>
    <w:rsid w:val="005B4910"/>
    <w:rsid w:val="005B4FC5"/>
    <w:rsid w:val="005C04CB"/>
    <w:rsid w:val="005C2A5B"/>
    <w:rsid w:val="005C462C"/>
    <w:rsid w:val="005C4E94"/>
    <w:rsid w:val="005C5AB7"/>
    <w:rsid w:val="005D4759"/>
    <w:rsid w:val="005E28DA"/>
    <w:rsid w:val="005E6BE3"/>
    <w:rsid w:val="005F5778"/>
    <w:rsid w:val="0060115C"/>
    <w:rsid w:val="00602B3A"/>
    <w:rsid w:val="00605D8E"/>
    <w:rsid w:val="00611B00"/>
    <w:rsid w:val="00611DF6"/>
    <w:rsid w:val="00611F8E"/>
    <w:rsid w:val="00613DA7"/>
    <w:rsid w:val="00620F0B"/>
    <w:rsid w:val="006250AF"/>
    <w:rsid w:val="00625980"/>
    <w:rsid w:val="00630502"/>
    <w:rsid w:val="006356C9"/>
    <w:rsid w:val="00636CD6"/>
    <w:rsid w:val="00637430"/>
    <w:rsid w:val="00640324"/>
    <w:rsid w:val="0064582C"/>
    <w:rsid w:val="00645837"/>
    <w:rsid w:val="0065147C"/>
    <w:rsid w:val="006537F3"/>
    <w:rsid w:val="00654891"/>
    <w:rsid w:val="00654A4D"/>
    <w:rsid w:val="006605DB"/>
    <w:rsid w:val="0066360C"/>
    <w:rsid w:val="00664663"/>
    <w:rsid w:val="0066621C"/>
    <w:rsid w:val="00666864"/>
    <w:rsid w:val="006674FB"/>
    <w:rsid w:val="00672CD3"/>
    <w:rsid w:val="00675572"/>
    <w:rsid w:val="00683DCE"/>
    <w:rsid w:val="00691222"/>
    <w:rsid w:val="006B2E20"/>
    <w:rsid w:val="006B3E3F"/>
    <w:rsid w:val="006C2C9E"/>
    <w:rsid w:val="006C3815"/>
    <w:rsid w:val="006D288F"/>
    <w:rsid w:val="006D3765"/>
    <w:rsid w:val="006D7727"/>
    <w:rsid w:val="006E336E"/>
    <w:rsid w:val="006E4557"/>
    <w:rsid w:val="006F1A35"/>
    <w:rsid w:val="006F6EB7"/>
    <w:rsid w:val="00705855"/>
    <w:rsid w:val="0071088E"/>
    <w:rsid w:val="00710ABC"/>
    <w:rsid w:val="00711868"/>
    <w:rsid w:val="007119EA"/>
    <w:rsid w:val="00716AEE"/>
    <w:rsid w:val="00721DC2"/>
    <w:rsid w:val="00732797"/>
    <w:rsid w:val="00733C51"/>
    <w:rsid w:val="00734659"/>
    <w:rsid w:val="0073664E"/>
    <w:rsid w:val="00741612"/>
    <w:rsid w:val="00741CDF"/>
    <w:rsid w:val="00747DC7"/>
    <w:rsid w:val="007502CF"/>
    <w:rsid w:val="007504EB"/>
    <w:rsid w:val="00751A36"/>
    <w:rsid w:val="00762B86"/>
    <w:rsid w:val="0076399A"/>
    <w:rsid w:val="00765EC0"/>
    <w:rsid w:val="007679FF"/>
    <w:rsid w:val="00771C1C"/>
    <w:rsid w:val="00773AD5"/>
    <w:rsid w:val="00775473"/>
    <w:rsid w:val="00775850"/>
    <w:rsid w:val="00776B71"/>
    <w:rsid w:val="00780BD7"/>
    <w:rsid w:val="00785467"/>
    <w:rsid w:val="00786F3E"/>
    <w:rsid w:val="007878ED"/>
    <w:rsid w:val="0079478B"/>
    <w:rsid w:val="007956D1"/>
    <w:rsid w:val="007A0D0B"/>
    <w:rsid w:val="007A1845"/>
    <w:rsid w:val="007A1DA0"/>
    <w:rsid w:val="007A3ACE"/>
    <w:rsid w:val="007B18B2"/>
    <w:rsid w:val="007B4C2F"/>
    <w:rsid w:val="007C079A"/>
    <w:rsid w:val="007C4043"/>
    <w:rsid w:val="007C4902"/>
    <w:rsid w:val="007C58A1"/>
    <w:rsid w:val="007C5FCC"/>
    <w:rsid w:val="007D02CE"/>
    <w:rsid w:val="007D0D6C"/>
    <w:rsid w:val="007E13DD"/>
    <w:rsid w:val="007E1801"/>
    <w:rsid w:val="007E1991"/>
    <w:rsid w:val="007E6F92"/>
    <w:rsid w:val="007E7EFA"/>
    <w:rsid w:val="007F303A"/>
    <w:rsid w:val="007F7C8C"/>
    <w:rsid w:val="00802CCA"/>
    <w:rsid w:val="00803825"/>
    <w:rsid w:val="00811F3F"/>
    <w:rsid w:val="00815544"/>
    <w:rsid w:val="0081655F"/>
    <w:rsid w:val="00817F40"/>
    <w:rsid w:val="00821AAD"/>
    <w:rsid w:val="00824378"/>
    <w:rsid w:val="00824D1C"/>
    <w:rsid w:val="008263A3"/>
    <w:rsid w:val="00833653"/>
    <w:rsid w:val="008336ED"/>
    <w:rsid w:val="008337D4"/>
    <w:rsid w:val="00841271"/>
    <w:rsid w:val="00841BAB"/>
    <w:rsid w:val="00846624"/>
    <w:rsid w:val="00846D4A"/>
    <w:rsid w:val="0085014F"/>
    <w:rsid w:val="00850FE3"/>
    <w:rsid w:val="00853EC3"/>
    <w:rsid w:val="008541B4"/>
    <w:rsid w:val="00854F57"/>
    <w:rsid w:val="00870B1F"/>
    <w:rsid w:val="00874F85"/>
    <w:rsid w:val="00877FC8"/>
    <w:rsid w:val="00880EEF"/>
    <w:rsid w:val="0088181B"/>
    <w:rsid w:val="00883A0F"/>
    <w:rsid w:val="00890CE3"/>
    <w:rsid w:val="00896CEF"/>
    <w:rsid w:val="00897EDE"/>
    <w:rsid w:val="008A787F"/>
    <w:rsid w:val="008B1E31"/>
    <w:rsid w:val="008B2768"/>
    <w:rsid w:val="008C0DC0"/>
    <w:rsid w:val="008D3E47"/>
    <w:rsid w:val="008D4BB9"/>
    <w:rsid w:val="008E095D"/>
    <w:rsid w:val="008E39DC"/>
    <w:rsid w:val="008E6649"/>
    <w:rsid w:val="008E6FDC"/>
    <w:rsid w:val="008F11C4"/>
    <w:rsid w:val="008F34B6"/>
    <w:rsid w:val="008F52B3"/>
    <w:rsid w:val="00900CFB"/>
    <w:rsid w:val="00901EE5"/>
    <w:rsid w:val="00903FC6"/>
    <w:rsid w:val="00904FC5"/>
    <w:rsid w:val="0090674F"/>
    <w:rsid w:val="009102C5"/>
    <w:rsid w:val="00911267"/>
    <w:rsid w:val="0091464D"/>
    <w:rsid w:val="00922144"/>
    <w:rsid w:val="009244C7"/>
    <w:rsid w:val="0092510F"/>
    <w:rsid w:val="00925F7C"/>
    <w:rsid w:val="00931A4C"/>
    <w:rsid w:val="00935F23"/>
    <w:rsid w:val="00944B34"/>
    <w:rsid w:val="00946B7C"/>
    <w:rsid w:val="009478E3"/>
    <w:rsid w:val="00954181"/>
    <w:rsid w:val="00960A6D"/>
    <w:rsid w:val="00962CE6"/>
    <w:rsid w:val="00967E96"/>
    <w:rsid w:val="009707A1"/>
    <w:rsid w:val="00970FE8"/>
    <w:rsid w:val="009721B1"/>
    <w:rsid w:val="00973DFE"/>
    <w:rsid w:val="00973EC0"/>
    <w:rsid w:val="00974381"/>
    <w:rsid w:val="00974801"/>
    <w:rsid w:val="00974C57"/>
    <w:rsid w:val="00974FDC"/>
    <w:rsid w:val="00976A6F"/>
    <w:rsid w:val="009817E0"/>
    <w:rsid w:val="00981AA0"/>
    <w:rsid w:val="00981CCF"/>
    <w:rsid w:val="009826F1"/>
    <w:rsid w:val="009856D8"/>
    <w:rsid w:val="00986CAA"/>
    <w:rsid w:val="00991525"/>
    <w:rsid w:val="0099258A"/>
    <w:rsid w:val="00993DB6"/>
    <w:rsid w:val="00994F67"/>
    <w:rsid w:val="009A0531"/>
    <w:rsid w:val="009A39A0"/>
    <w:rsid w:val="009B4FD9"/>
    <w:rsid w:val="009C014C"/>
    <w:rsid w:val="009C5FA2"/>
    <w:rsid w:val="009D0811"/>
    <w:rsid w:val="009D4F4E"/>
    <w:rsid w:val="009D55D9"/>
    <w:rsid w:val="009D636A"/>
    <w:rsid w:val="009E425B"/>
    <w:rsid w:val="009E4399"/>
    <w:rsid w:val="009E707D"/>
    <w:rsid w:val="009F1AA3"/>
    <w:rsid w:val="009F2284"/>
    <w:rsid w:val="009F422D"/>
    <w:rsid w:val="00A04731"/>
    <w:rsid w:val="00A068B7"/>
    <w:rsid w:val="00A07DE7"/>
    <w:rsid w:val="00A10E69"/>
    <w:rsid w:val="00A14994"/>
    <w:rsid w:val="00A16C41"/>
    <w:rsid w:val="00A20AEF"/>
    <w:rsid w:val="00A25CC3"/>
    <w:rsid w:val="00A26847"/>
    <w:rsid w:val="00A311FB"/>
    <w:rsid w:val="00A4019C"/>
    <w:rsid w:val="00A40DE5"/>
    <w:rsid w:val="00A44785"/>
    <w:rsid w:val="00A503A1"/>
    <w:rsid w:val="00A50D0E"/>
    <w:rsid w:val="00A5152A"/>
    <w:rsid w:val="00A5246F"/>
    <w:rsid w:val="00A52769"/>
    <w:rsid w:val="00A5515E"/>
    <w:rsid w:val="00A55601"/>
    <w:rsid w:val="00A565C0"/>
    <w:rsid w:val="00A61076"/>
    <w:rsid w:val="00A62063"/>
    <w:rsid w:val="00A639B6"/>
    <w:rsid w:val="00A65929"/>
    <w:rsid w:val="00A671EC"/>
    <w:rsid w:val="00A725D2"/>
    <w:rsid w:val="00A7267A"/>
    <w:rsid w:val="00A74BC0"/>
    <w:rsid w:val="00A80F52"/>
    <w:rsid w:val="00A81211"/>
    <w:rsid w:val="00A828E1"/>
    <w:rsid w:val="00A8379E"/>
    <w:rsid w:val="00A84EDE"/>
    <w:rsid w:val="00A90687"/>
    <w:rsid w:val="00A924C1"/>
    <w:rsid w:val="00A92FE8"/>
    <w:rsid w:val="00A94BEE"/>
    <w:rsid w:val="00AA1EC0"/>
    <w:rsid w:val="00AA2397"/>
    <w:rsid w:val="00AA52EA"/>
    <w:rsid w:val="00AB33E4"/>
    <w:rsid w:val="00AB79BF"/>
    <w:rsid w:val="00AB7BB7"/>
    <w:rsid w:val="00AC1103"/>
    <w:rsid w:val="00AC29F2"/>
    <w:rsid w:val="00AC2B1D"/>
    <w:rsid w:val="00AC608D"/>
    <w:rsid w:val="00AC760F"/>
    <w:rsid w:val="00AD0EA8"/>
    <w:rsid w:val="00AD475D"/>
    <w:rsid w:val="00AE0ED2"/>
    <w:rsid w:val="00AE1A9E"/>
    <w:rsid w:val="00AE2A48"/>
    <w:rsid w:val="00AE5BFA"/>
    <w:rsid w:val="00AE6B02"/>
    <w:rsid w:val="00AE7D25"/>
    <w:rsid w:val="00AF0B9C"/>
    <w:rsid w:val="00AF1BDC"/>
    <w:rsid w:val="00AF6A64"/>
    <w:rsid w:val="00B03A41"/>
    <w:rsid w:val="00B11002"/>
    <w:rsid w:val="00B110D5"/>
    <w:rsid w:val="00B136F1"/>
    <w:rsid w:val="00B13A7E"/>
    <w:rsid w:val="00B146B9"/>
    <w:rsid w:val="00B167EB"/>
    <w:rsid w:val="00B1724C"/>
    <w:rsid w:val="00B2018B"/>
    <w:rsid w:val="00B20FAF"/>
    <w:rsid w:val="00B2119F"/>
    <w:rsid w:val="00B22627"/>
    <w:rsid w:val="00B279FA"/>
    <w:rsid w:val="00B3059F"/>
    <w:rsid w:val="00B30829"/>
    <w:rsid w:val="00B3662F"/>
    <w:rsid w:val="00B414D1"/>
    <w:rsid w:val="00B44039"/>
    <w:rsid w:val="00B50841"/>
    <w:rsid w:val="00B53FE2"/>
    <w:rsid w:val="00B6286D"/>
    <w:rsid w:val="00B638E9"/>
    <w:rsid w:val="00B63ADB"/>
    <w:rsid w:val="00B65FA5"/>
    <w:rsid w:val="00B720F9"/>
    <w:rsid w:val="00B72677"/>
    <w:rsid w:val="00B80963"/>
    <w:rsid w:val="00B82FE4"/>
    <w:rsid w:val="00B84FD5"/>
    <w:rsid w:val="00B85C79"/>
    <w:rsid w:val="00B85E42"/>
    <w:rsid w:val="00B92221"/>
    <w:rsid w:val="00B9398C"/>
    <w:rsid w:val="00B95E8B"/>
    <w:rsid w:val="00BA154F"/>
    <w:rsid w:val="00BA1FA8"/>
    <w:rsid w:val="00BA2774"/>
    <w:rsid w:val="00BA3876"/>
    <w:rsid w:val="00BA4C86"/>
    <w:rsid w:val="00BA5D59"/>
    <w:rsid w:val="00BB2147"/>
    <w:rsid w:val="00BB2368"/>
    <w:rsid w:val="00BB4A48"/>
    <w:rsid w:val="00BB592A"/>
    <w:rsid w:val="00BB6C85"/>
    <w:rsid w:val="00BC22B2"/>
    <w:rsid w:val="00BC4728"/>
    <w:rsid w:val="00BC4DBB"/>
    <w:rsid w:val="00BC6D21"/>
    <w:rsid w:val="00BD06B0"/>
    <w:rsid w:val="00BD1DB8"/>
    <w:rsid w:val="00BE3E52"/>
    <w:rsid w:val="00BE6D37"/>
    <w:rsid w:val="00BF60F1"/>
    <w:rsid w:val="00BF754B"/>
    <w:rsid w:val="00C0080A"/>
    <w:rsid w:val="00C06536"/>
    <w:rsid w:val="00C128B3"/>
    <w:rsid w:val="00C15A04"/>
    <w:rsid w:val="00C15BE7"/>
    <w:rsid w:val="00C276BD"/>
    <w:rsid w:val="00C33169"/>
    <w:rsid w:val="00C36D5F"/>
    <w:rsid w:val="00C445A5"/>
    <w:rsid w:val="00C544FB"/>
    <w:rsid w:val="00C54A42"/>
    <w:rsid w:val="00C56885"/>
    <w:rsid w:val="00C57E1D"/>
    <w:rsid w:val="00C6499B"/>
    <w:rsid w:val="00C65C66"/>
    <w:rsid w:val="00C667B5"/>
    <w:rsid w:val="00C71668"/>
    <w:rsid w:val="00C7740F"/>
    <w:rsid w:val="00C83B24"/>
    <w:rsid w:val="00C91C97"/>
    <w:rsid w:val="00C93024"/>
    <w:rsid w:val="00C9547C"/>
    <w:rsid w:val="00CA2883"/>
    <w:rsid w:val="00CA3328"/>
    <w:rsid w:val="00CA46A5"/>
    <w:rsid w:val="00CB2A07"/>
    <w:rsid w:val="00CB39F6"/>
    <w:rsid w:val="00CB7271"/>
    <w:rsid w:val="00CC169E"/>
    <w:rsid w:val="00CC20E9"/>
    <w:rsid w:val="00CC2F3D"/>
    <w:rsid w:val="00CD209D"/>
    <w:rsid w:val="00CD20D1"/>
    <w:rsid w:val="00CD58D2"/>
    <w:rsid w:val="00CE34F2"/>
    <w:rsid w:val="00CE7849"/>
    <w:rsid w:val="00D03358"/>
    <w:rsid w:val="00D038D4"/>
    <w:rsid w:val="00D041C3"/>
    <w:rsid w:val="00D118C3"/>
    <w:rsid w:val="00D13A73"/>
    <w:rsid w:val="00D24F7D"/>
    <w:rsid w:val="00D40FCB"/>
    <w:rsid w:val="00D433B9"/>
    <w:rsid w:val="00D474F0"/>
    <w:rsid w:val="00D50E44"/>
    <w:rsid w:val="00D511B7"/>
    <w:rsid w:val="00D519F2"/>
    <w:rsid w:val="00D52EA3"/>
    <w:rsid w:val="00D5660A"/>
    <w:rsid w:val="00D57880"/>
    <w:rsid w:val="00D57F77"/>
    <w:rsid w:val="00D63123"/>
    <w:rsid w:val="00D64200"/>
    <w:rsid w:val="00D64A84"/>
    <w:rsid w:val="00D6688D"/>
    <w:rsid w:val="00D67CE5"/>
    <w:rsid w:val="00D7084C"/>
    <w:rsid w:val="00D73A05"/>
    <w:rsid w:val="00D759F0"/>
    <w:rsid w:val="00D770E1"/>
    <w:rsid w:val="00D84F6D"/>
    <w:rsid w:val="00D86875"/>
    <w:rsid w:val="00D86E95"/>
    <w:rsid w:val="00D921C2"/>
    <w:rsid w:val="00D926FE"/>
    <w:rsid w:val="00D945C2"/>
    <w:rsid w:val="00D95696"/>
    <w:rsid w:val="00DA14B4"/>
    <w:rsid w:val="00DA2F2C"/>
    <w:rsid w:val="00DA6796"/>
    <w:rsid w:val="00DB3C51"/>
    <w:rsid w:val="00DB740D"/>
    <w:rsid w:val="00DC6AE4"/>
    <w:rsid w:val="00DD6AD4"/>
    <w:rsid w:val="00DE4ACC"/>
    <w:rsid w:val="00DE78D5"/>
    <w:rsid w:val="00DF1D45"/>
    <w:rsid w:val="00DF7E3E"/>
    <w:rsid w:val="00E00FB6"/>
    <w:rsid w:val="00E02FD8"/>
    <w:rsid w:val="00E03D78"/>
    <w:rsid w:val="00E04E77"/>
    <w:rsid w:val="00E10B92"/>
    <w:rsid w:val="00E1280A"/>
    <w:rsid w:val="00E14176"/>
    <w:rsid w:val="00E2072E"/>
    <w:rsid w:val="00E23815"/>
    <w:rsid w:val="00E326E9"/>
    <w:rsid w:val="00E33ACA"/>
    <w:rsid w:val="00E34F23"/>
    <w:rsid w:val="00E35509"/>
    <w:rsid w:val="00E40F50"/>
    <w:rsid w:val="00E43A11"/>
    <w:rsid w:val="00E468B7"/>
    <w:rsid w:val="00E51398"/>
    <w:rsid w:val="00E54A5D"/>
    <w:rsid w:val="00E61037"/>
    <w:rsid w:val="00E61783"/>
    <w:rsid w:val="00E61F1C"/>
    <w:rsid w:val="00E634F7"/>
    <w:rsid w:val="00E64E0B"/>
    <w:rsid w:val="00E66A8D"/>
    <w:rsid w:val="00E70477"/>
    <w:rsid w:val="00E708CA"/>
    <w:rsid w:val="00E7261F"/>
    <w:rsid w:val="00E7603F"/>
    <w:rsid w:val="00E92CA0"/>
    <w:rsid w:val="00E94081"/>
    <w:rsid w:val="00E95220"/>
    <w:rsid w:val="00E95640"/>
    <w:rsid w:val="00EA25C1"/>
    <w:rsid w:val="00EA5171"/>
    <w:rsid w:val="00EC0DA4"/>
    <w:rsid w:val="00EC61F7"/>
    <w:rsid w:val="00ED02D8"/>
    <w:rsid w:val="00ED3CF8"/>
    <w:rsid w:val="00EE303D"/>
    <w:rsid w:val="00EE5E75"/>
    <w:rsid w:val="00EE66D0"/>
    <w:rsid w:val="00EF5A7C"/>
    <w:rsid w:val="00EF5F53"/>
    <w:rsid w:val="00EF7356"/>
    <w:rsid w:val="00F0199A"/>
    <w:rsid w:val="00F04295"/>
    <w:rsid w:val="00F1242F"/>
    <w:rsid w:val="00F13E3A"/>
    <w:rsid w:val="00F15593"/>
    <w:rsid w:val="00F16C32"/>
    <w:rsid w:val="00F21A4F"/>
    <w:rsid w:val="00F22507"/>
    <w:rsid w:val="00F35502"/>
    <w:rsid w:val="00F35906"/>
    <w:rsid w:val="00F51399"/>
    <w:rsid w:val="00F53DA1"/>
    <w:rsid w:val="00F56946"/>
    <w:rsid w:val="00F570FA"/>
    <w:rsid w:val="00F643AC"/>
    <w:rsid w:val="00F6535D"/>
    <w:rsid w:val="00F658E8"/>
    <w:rsid w:val="00F66231"/>
    <w:rsid w:val="00F66262"/>
    <w:rsid w:val="00F73426"/>
    <w:rsid w:val="00F775F3"/>
    <w:rsid w:val="00F84925"/>
    <w:rsid w:val="00F8540B"/>
    <w:rsid w:val="00F937D9"/>
    <w:rsid w:val="00F93C89"/>
    <w:rsid w:val="00F93E69"/>
    <w:rsid w:val="00F95DFC"/>
    <w:rsid w:val="00FA0810"/>
    <w:rsid w:val="00FA0E19"/>
    <w:rsid w:val="00FA5CFB"/>
    <w:rsid w:val="00FA7282"/>
    <w:rsid w:val="00FB2578"/>
    <w:rsid w:val="00FB37CA"/>
    <w:rsid w:val="00FB5222"/>
    <w:rsid w:val="00FB7E8C"/>
    <w:rsid w:val="00FC264E"/>
    <w:rsid w:val="00FC4008"/>
    <w:rsid w:val="00FE5575"/>
    <w:rsid w:val="00FE6508"/>
    <w:rsid w:val="00FF4E83"/>
    <w:rsid w:val="00FF69A0"/>
    <w:rsid w:val="00FF7441"/>
    <w:rsid w:val="010A7132"/>
    <w:rsid w:val="011F7927"/>
    <w:rsid w:val="01513E64"/>
    <w:rsid w:val="0159615A"/>
    <w:rsid w:val="01657C87"/>
    <w:rsid w:val="01877B89"/>
    <w:rsid w:val="0198718D"/>
    <w:rsid w:val="019D757A"/>
    <w:rsid w:val="01B55738"/>
    <w:rsid w:val="01DE091E"/>
    <w:rsid w:val="02182710"/>
    <w:rsid w:val="023032C8"/>
    <w:rsid w:val="023045BF"/>
    <w:rsid w:val="02413F0C"/>
    <w:rsid w:val="02626124"/>
    <w:rsid w:val="0269466A"/>
    <w:rsid w:val="02882024"/>
    <w:rsid w:val="028E5260"/>
    <w:rsid w:val="02B77300"/>
    <w:rsid w:val="02D46BF5"/>
    <w:rsid w:val="039876BD"/>
    <w:rsid w:val="03BF621C"/>
    <w:rsid w:val="04740220"/>
    <w:rsid w:val="04920B28"/>
    <w:rsid w:val="04A850E1"/>
    <w:rsid w:val="04D01899"/>
    <w:rsid w:val="05084DE6"/>
    <w:rsid w:val="053F7C63"/>
    <w:rsid w:val="06130F44"/>
    <w:rsid w:val="061E1B96"/>
    <w:rsid w:val="06370312"/>
    <w:rsid w:val="0642245C"/>
    <w:rsid w:val="065A3D22"/>
    <w:rsid w:val="068E291B"/>
    <w:rsid w:val="06D14E86"/>
    <w:rsid w:val="074B0E0F"/>
    <w:rsid w:val="07665ADC"/>
    <w:rsid w:val="076B6644"/>
    <w:rsid w:val="078A749A"/>
    <w:rsid w:val="078C3331"/>
    <w:rsid w:val="07BC02B8"/>
    <w:rsid w:val="07E85439"/>
    <w:rsid w:val="082C0057"/>
    <w:rsid w:val="08D17BD9"/>
    <w:rsid w:val="09260A6A"/>
    <w:rsid w:val="094D2F7D"/>
    <w:rsid w:val="09DF69EB"/>
    <w:rsid w:val="0A1F1D39"/>
    <w:rsid w:val="0A6B044B"/>
    <w:rsid w:val="0A754947"/>
    <w:rsid w:val="0AC8294B"/>
    <w:rsid w:val="0AD87186"/>
    <w:rsid w:val="0AE72278"/>
    <w:rsid w:val="0AEE1CD2"/>
    <w:rsid w:val="0AFE7A91"/>
    <w:rsid w:val="0B0D0649"/>
    <w:rsid w:val="0B48518B"/>
    <w:rsid w:val="0B4A1F79"/>
    <w:rsid w:val="0B675870"/>
    <w:rsid w:val="0BCD29D1"/>
    <w:rsid w:val="0BFE313E"/>
    <w:rsid w:val="0C030848"/>
    <w:rsid w:val="0C06358C"/>
    <w:rsid w:val="0C0F668B"/>
    <w:rsid w:val="0C2D2A4E"/>
    <w:rsid w:val="0C3F4067"/>
    <w:rsid w:val="0C5E73DF"/>
    <w:rsid w:val="0CD43880"/>
    <w:rsid w:val="0D1E0A9D"/>
    <w:rsid w:val="0D1E7D14"/>
    <w:rsid w:val="0D2E6369"/>
    <w:rsid w:val="0D4E73C9"/>
    <w:rsid w:val="0E9B5CF1"/>
    <w:rsid w:val="0EAB0420"/>
    <w:rsid w:val="0EDB1F56"/>
    <w:rsid w:val="0F2B72FD"/>
    <w:rsid w:val="0F712210"/>
    <w:rsid w:val="0F772D10"/>
    <w:rsid w:val="0FD43131"/>
    <w:rsid w:val="10435D8F"/>
    <w:rsid w:val="107A5B43"/>
    <w:rsid w:val="10B465FD"/>
    <w:rsid w:val="10DD37A0"/>
    <w:rsid w:val="11615781"/>
    <w:rsid w:val="11AE0387"/>
    <w:rsid w:val="11C22850"/>
    <w:rsid w:val="11E31C83"/>
    <w:rsid w:val="122A3A60"/>
    <w:rsid w:val="125C18E4"/>
    <w:rsid w:val="12CB09CA"/>
    <w:rsid w:val="12EB53B3"/>
    <w:rsid w:val="132D7415"/>
    <w:rsid w:val="13D74C58"/>
    <w:rsid w:val="148B6644"/>
    <w:rsid w:val="152763DB"/>
    <w:rsid w:val="15383BE2"/>
    <w:rsid w:val="15887F65"/>
    <w:rsid w:val="161703C8"/>
    <w:rsid w:val="16231BA5"/>
    <w:rsid w:val="16323E9D"/>
    <w:rsid w:val="166E4B90"/>
    <w:rsid w:val="16772F40"/>
    <w:rsid w:val="16944659"/>
    <w:rsid w:val="16D22EB5"/>
    <w:rsid w:val="16E03B7C"/>
    <w:rsid w:val="17176627"/>
    <w:rsid w:val="17207A5A"/>
    <w:rsid w:val="1753231C"/>
    <w:rsid w:val="175D6154"/>
    <w:rsid w:val="1803606A"/>
    <w:rsid w:val="18950986"/>
    <w:rsid w:val="18A85226"/>
    <w:rsid w:val="18CE4746"/>
    <w:rsid w:val="18E366B4"/>
    <w:rsid w:val="18E506C4"/>
    <w:rsid w:val="18E93168"/>
    <w:rsid w:val="190B1B90"/>
    <w:rsid w:val="191D1DC0"/>
    <w:rsid w:val="192671F6"/>
    <w:rsid w:val="19C4245D"/>
    <w:rsid w:val="19DB2CDE"/>
    <w:rsid w:val="19FD4C46"/>
    <w:rsid w:val="1A454EAC"/>
    <w:rsid w:val="1A7A756B"/>
    <w:rsid w:val="1AC148D4"/>
    <w:rsid w:val="1AE215D7"/>
    <w:rsid w:val="1B0B7CD1"/>
    <w:rsid w:val="1B231CFF"/>
    <w:rsid w:val="1B676A58"/>
    <w:rsid w:val="1B863DB1"/>
    <w:rsid w:val="1B976D9E"/>
    <w:rsid w:val="1B997B8D"/>
    <w:rsid w:val="1BBA00B9"/>
    <w:rsid w:val="1BF9538C"/>
    <w:rsid w:val="1C272E87"/>
    <w:rsid w:val="1CA54D31"/>
    <w:rsid w:val="1CBD0799"/>
    <w:rsid w:val="1CBD6FF4"/>
    <w:rsid w:val="1D822E55"/>
    <w:rsid w:val="1E607F97"/>
    <w:rsid w:val="1E9D6122"/>
    <w:rsid w:val="1EB81009"/>
    <w:rsid w:val="1ED05635"/>
    <w:rsid w:val="1F650DA4"/>
    <w:rsid w:val="1F9153C3"/>
    <w:rsid w:val="1FB41535"/>
    <w:rsid w:val="1FC75FAE"/>
    <w:rsid w:val="20202BE5"/>
    <w:rsid w:val="206D072C"/>
    <w:rsid w:val="20787B52"/>
    <w:rsid w:val="20927281"/>
    <w:rsid w:val="20FF2141"/>
    <w:rsid w:val="215F7EB7"/>
    <w:rsid w:val="21632664"/>
    <w:rsid w:val="22024419"/>
    <w:rsid w:val="22AA0AE7"/>
    <w:rsid w:val="23452D93"/>
    <w:rsid w:val="2350145F"/>
    <w:rsid w:val="23CD6EEC"/>
    <w:rsid w:val="24307004"/>
    <w:rsid w:val="24995595"/>
    <w:rsid w:val="24A067BC"/>
    <w:rsid w:val="24D855B7"/>
    <w:rsid w:val="25395812"/>
    <w:rsid w:val="25496281"/>
    <w:rsid w:val="25E64F73"/>
    <w:rsid w:val="25E85526"/>
    <w:rsid w:val="25EB1622"/>
    <w:rsid w:val="265D6251"/>
    <w:rsid w:val="26823488"/>
    <w:rsid w:val="27501FAC"/>
    <w:rsid w:val="27514B9C"/>
    <w:rsid w:val="275C272D"/>
    <w:rsid w:val="27601621"/>
    <w:rsid w:val="27895560"/>
    <w:rsid w:val="27FD11EC"/>
    <w:rsid w:val="288A5CDB"/>
    <w:rsid w:val="290B7494"/>
    <w:rsid w:val="299566CF"/>
    <w:rsid w:val="29995163"/>
    <w:rsid w:val="29E259F5"/>
    <w:rsid w:val="2A045D64"/>
    <w:rsid w:val="2A1243E7"/>
    <w:rsid w:val="2A831341"/>
    <w:rsid w:val="2B9504FB"/>
    <w:rsid w:val="2BE94319"/>
    <w:rsid w:val="2BEB5C4A"/>
    <w:rsid w:val="2C471E1A"/>
    <w:rsid w:val="2C7C7B9F"/>
    <w:rsid w:val="2D400642"/>
    <w:rsid w:val="2D52002A"/>
    <w:rsid w:val="2DB43E00"/>
    <w:rsid w:val="2DB57EF4"/>
    <w:rsid w:val="2EBA4464"/>
    <w:rsid w:val="2EEB49F3"/>
    <w:rsid w:val="2F431D7E"/>
    <w:rsid w:val="2F9D5BCF"/>
    <w:rsid w:val="2FE579EC"/>
    <w:rsid w:val="2FF50786"/>
    <w:rsid w:val="2FF57048"/>
    <w:rsid w:val="30133EAC"/>
    <w:rsid w:val="301579D0"/>
    <w:rsid w:val="30247560"/>
    <w:rsid w:val="302C12A2"/>
    <w:rsid w:val="30685780"/>
    <w:rsid w:val="3084270A"/>
    <w:rsid w:val="30866B16"/>
    <w:rsid w:val="30910261"/>
    <w:rsid w:val="30D50E9F"/>
    <w:rsid w:val="30DB48A1"/>
    <w:rsid w:val="30DD1039"/>
    <w:rsid w:val="30E25C2B"/>
    <w:rsid w:val="30EB7FCD"/>
    <w:rsid w:val="30F23958"/>
    <w:rsid w:val="30F85CE6"/>
    <w:rsid w:val="31194615"/>
    <w:rsid w:val="319C69E6"/>
    <w:rsid w:val="3291403A"/>
    <w:rsid w:val="32BD49D8"/>
    <w:rsid w:val="32D3450C"/>
    <w:rsid w:val="32F87752"/>
    <w:rsid w:val="332160D7"/>
    <w:rsid w:val="332E701C"/>
    <w:rsid w:val="339E7B51"/>
    <w:rsid w:val="345C666F"/>
    <w:rsid w:val="34764D81"/>
    <w:rsid w:val="3506390E"/>
    <w:rsid w:val="3558019E"/>
    <w:rsid w:val="355D0678"/>
    <w:rsid w:val="35E46203"/>
    <w:rsid w:val="361A39CD"/>
    <w:rsid w:val="36345299"/>
    <w:rsid w:val="36372D3F"/>
    <w:rsid w:val="36B964F3"/>
    <w:rsid w:val="374217DE"/>
    <w:rsid w:val="37560D92"/>
    <w:rsid w:val="37C34806"/>
    <w:rsid w:val="384E7704"/>
    <w:rsid w:val="38547C1F"/>
    <w:rsid w:val="388A374B"/>
    <w:rsid w:val="38C9516C"/>
    <w:rsid w:val="392872B0"/>
    <w:rsid w:val="392D70FF"/>
    <w:rsid w:val="394D1FC0"/>
    <w:rsid w:val="39610879"/>
    <w:rsid w:val="39E565B8"/>
    <w:rsid w:val="3A1402D1"/>
    <w:rsid w:val="3A1F4BB1"/>
    <w:rsid w:val="3A494854"/>
    <w:rsid w:val="3AF6353D"/>
    <w:rsid w:val="3B2962D5"/>
    <w:rsid w:val="3B9371DE"/>
    <w:rsid w:val="3BAA1E11"/>
    <w:rsid w:val="3BBB75D3"/>
    <w:rsid w:val="3BE80C9D"/>
    <w:rsid w:val="3C7A019D"/>
    <w:rsid w:val="3C8A6481"/>
    <w:rsid w:val="3C9906E3"/>
    <w:rsid w:val="3CD26917"/>
    <w:rsid w:val="3CF51642"/>
    <w:rsid w:val="3D647F90"/>
    <w:rsid w:val="3D913670"/>
    <w:rsid w:val="3DB436EF"/>
    <w:rsid w:val="3E146425"/>
    <w:rsid w:val="3E4B3711"/>
    <w:rsid w:val="3E753DA5"/>
    <w:rsid w:val="3EAC75C1"/>
    <w:rsid w:val="3F0204B3"/>
    <w:rsid w:val="3F31019E"/>
    <w:rsid w:val="3F596820"/>
    <w:rsid w:val="3F872270"/>
    <w:rsid w:val="40271CFE"/>
    <w:rsid w:val="402D75B1"/>
    <w:rsid w:val="403B3BE9"/>
    <w:rsid w:val="40D828B9"/>
    <w:rsid w:val="40DC2CF0"/>
    <w:rsid w:val="41195FAC"/>
    <w:rsid w:val="4140353F"/>
    <w:rsid w:val="41582091"/>
    <w:rsid w:val="415F5CE4"/>
    <w:rsid w:val="421806F6"/>
    <w:rsid w:val="4252745A"/>
    <w:rsid w:val="425F7A8B"/>
    <w:rsid w:val="42A23E7A"/>
    <w:rsid w:val="42E64C5E"/>
    <w:rsid w:val="43165787"/>
    <w:rsid w:val="432F1FF6"/>
    <w:rsid w:val="43A13F4E"/>
    <w:rsid w:val="43FE2691"/>
    <w:rsid w:val="440A2ECA"/>
    <w:rsid w:val="44120B2B"/>
    <w:rsid w:val="4454152F"/>
    <w:rsid w:val="44B56AE0"/>
    <w:rsid w:val="44BF039A"/>
    <w:rsid w:val="44C3253B"/>
    <w:rsid w:val="44D12317"/>
    <w:rsid w:val="44FE16C7"/>
    <w:rsid w:val="45225CCA"/>
    <w:rsid w:val="45414E24"/>
    <w:rsid w:val="454D024C"/>
    <w:rsid w:val="45897358"/>
    <w:rsid w:val="45C22BA7"/>
    <w:rsid w:val="462B64A1"/>
    <w:rsid w:val="466F66E4"/>
    <w:rsid w:val="467B5982"/>
    <w:rsid w:val="468E7F61"/>
    <w:rsid w:val="46CB5636"/>
    <w:rsid w:val="47291BD1"/>
    <w:rsid w:val="47806A8D"/>
    <w:rsid w:val="47B431A0"/>
    <w:rsid w:val="48515813"/>
    <w:rsid w:val="4856312D"/>
    <w:rsid w:val="488E68A1"/>
    <w:rsid w:val="49535C82"/>
    <w:rsid w:val="496A6798"/>
    <w:rsid w:val="49851594"/>
    <w:rsid w:val="49A05320"/>
    <w:rsid w:val="49A47731"/>
    <w:rsid w:val="49AE044F"/>
    <w:rsid w:val="4AC874DC"/>
    <w:rsid w:val="4ADA22BA"/>
    <w:rsid w:val="4B904EAA"/>
    <w:rsid w:val="4BD87AA0"/>
    <w:rsid w:val="4C5E0FAB"/>
    <w:rsid w:val="4C924A6C"/>
    <w:rsid w:val="4D0F6CB7"/>
    <w:rsid w:val="4D1A56AA"/>
    <w:rsid w:val="4D240A5D"/>
    <w:rsid w:val="4D55108B"/>
    <w:rsid w:val="4D6C1BA7"/>
    <w:rsid w:val="4DD03126"/>
    <w:rsid w:val="4E1169B8"/>
    <w:rsid w:val="4E733AB6"/>
    <w:rsid w:val="4F2D3B16"/>
    <w:rsid w:val="4F4F6569"/>
    <w:rsid w:val="4FD11F9A"/>
    <w:rsid w:val="509721B5"/>
    <w:rsid w:val="50D93FE9"/>
    <w:rsid w:val="50DA0119"/>
    <w:rsid w:val="51956D25"/>
    <w:rsid w:val="51A94C4D"/>
    <w:rsid w:val="52376AC8"/>
    <w:rsid w:val="52767C8E"/>
    <w:rsid w:val="53931CAA"/>
    <w:rsid w:val="53DB0E9F"/>
    <w:rsid w:val="54501E0D"/>
    <w:rsid w:val="54B06A6A"/>
    <w:rsid w:val="54FC2596"/>
    <w:rsid w:val="556C5AAA"/>
    <w:rsid w:val="55933B0E"/>
    <w:rsid w:val="559509EF"/>
    <w:rsid w:val="55C36DCF"/>
    <w:rsid w:val="561B5B49"/>
    <w:rsid w:val="56430A06"/>
    <w:rsid w:val="566C1D0F"/>
    <w:rsid w:val="56F92684"/>
    <w:rsid w:val="57011C5F"/>
    <w:rsid w:val="570D25F0"/>
    <w:rsid w:val="5731792D"/>
    <w:rsid w:val="573960A7"/>
    <w:rsid w:val="57487104"/>
    <w:rsid w:val="57540C1D"/>
    <w:rsid w:val="57AE49A2"/>
    <w:rsid w:val="57C74D5E"/>
    <w:rsid w:val="58F6311C"/>
    <w:rsid w:val="59260BAB"/>
    <w:rsid w:val="593C199B"/>
    <w:rsid w:val="59466BCC"/>
    <w:rsid w:val="594B5658"/>
    <w:rsid w:val="596C23D7"/>
    <w:rsid w:val="59FA531A"/>
    <w:rsid w:val="59FD0AEE"/>
    <w:rsid w:val="5A010C20"/>
    <w:rsid w:val="5A1543B4"/>
    <w:rsid w:val="5A4D09D9"/>
    <w:rsid w:val="5ABD76D8"/>
    <w:rsid w:val="5B143BC7"/>
    <w:rsid w:val="5B2C275F"/>
    <w:rsid w:val="5B752BA3"/>
    <w:rsid w:val="5B996785"/>
    <w:rsid w:val="5BE865EB"/>
    <w:rsid w:val="5C375B36"/>
    <w:rsid w:val="5CC95D43"/>
    <w:rsid w:val="5CD030C7"/>
    <w:rsid w:val="5D1A0B49"/>
    <w:rsid w:val="5DD97537"/>
    <w:rsid w:val="5DE32DA2"/>
    <w:rsid w:val="5E131F0D"/>
    <w:rsid w:val="5E791788"/>
    <w:rsid w:val="5EAC4674"/>
    <w:rsid w:val="5ECC4315"/>
    <w:rsid w:val="5ED12690"/>
    <w:rsid w:val="5F5F2636"/>
    <w:rsid w:val="5F847EA1"/>
    <w:rsid w:val="5F8A73C1"/>
    <w:rsid w:val="5FA624A7"/>
    <w:rsid w:val="5FB21403"/>
    <w:rsid w:val="5FEC2044"/>
    <w:rsid w:val="60215B5F"/>
    <w:rsid w:val="60351DE1"/>
    <w:rsid w:val="60953033"/>
    <w:rsid w:val="60C15CBF"/>
    <w:rsid w:val="610460EE"/>
    <w:rsid w:val="61476AC1"/>
    <w:rsid w:val="616245BD"/>
    <w:rsid w:val="61EC7AD2"/>
    <w:rsid w:val="6226294B"/>
    <w:rsid w:val="626940C4"/>
    <w:rsid w:val="626A5624"/>
    <w:rsid w:val="627D19E2"/>
    <w:rsid w:val="627E4340"/>
    <w:rsid w:val="62EE4703"/>
    <w:rsid w:val="632A1383"/>
    <w:rsid w:val="634E308D"/>
    <w:rsid w:val="6389374B"/>
    <w:rsid w:val="645B4ADA"/>
    <w:rsid w:val="651144BD"/>
    <w:rsid w:val="65222DD4"/>
    <w:rsid w:val="657A55EE"/>
    <w:rsid w:val="65EA1328"/>
    <w:rsid w:val="664D5678"/>
    <w:rsid w:val="66776DB6"/>
    <w:rsid w:val="675402B7"/>
    <w:rsid w:val="676641F4"/>
    <w:rsid w:val="67D0452E"/>
    <w:rsid w:val="68054D95"/>
    <w:rsid w:val="68125763"/>
    <w:rsid w:val="68460887"/>
    <w:rsid w:val="686A42AE"/>
    <w:rsid w:val="68D834CE"/>
    <w:rsid w:val="68E0358D"/>
    <w:rsid w:val="68F13662"/>
    <w:rsid w:val="690141C8"/>
    <w:rsid w:val="690C679D"/>
    <w:rsid w:val="693D4564"/>
    <w:rsid w:val="69592211"/>
    <w:rsid w:val="699E0CF4"/>
    <w:rsid w:val="6A2D207B"/>
    <w:rsid w:val="6A7B4150"/>
    <w:rsid w:val="6A985DC2"/>
    <w:rsid w:val="6B856F83"/>
    <w:rsid w:val="6BBB61DC"/>
    <w:rsid w:val="6C481226"/>
    <w:rsid w:val="6C545BD2"/>
    <w:rsid w:val="6C6A2551"/>
    <w:rsid w:val="6CB746F6"/>
    <w:rsid w:val="6D254FA9"/>
    <w:rsid w:val="6D362A7E"/>
    <w:rsid w:val="6D6C0E2A"/>
    <w:rsid w:val="6D7C490A"/>
    <w:rsid w:val="6DA24C31"/>
    <w:rsid w:val="6E1814CB"/>
    <w:rsid w:val="6E1D10FC"/>
    <w:rsid w:val="6E772DA6"/>
    <w:rsid w:val="6EB312D1"/>
    <w:rsid w:val="6F0635D4"/>
    <w:rsid w:val="6F4738C4"/>
    <w:rsid w:val="6F7E556D"/>
    <w:rsid w:val="6FA56967"/>
    <w:rsid w:val="6FB1072E"/>
    <w:rsid w:val="6FC772D4"/>
    <w:rsid w:val="6FEC1977"/>
    <w:rsid w:val="70022CA5"/>
    <w:rsid w:val="7009323C"/>
    <w:rsid w:val="70267111"/>
    <w:rsid w:val="702E6EEE"/>
    <w:rsid w:val="70374CB2"/>
    <w:rsid w:val="709D22A8"/>
    <w:rsid w:val="70B24803"/>
    <w:rsid w:val="70CF63F8"/>
    <w:rsid w:val="71081C6E"/>
    <w:rsid w:val="710B23A7"/>
    <w:rsid w:val="71900409"/>
    <w:rsid w:val="71A70E6C"/>
    <w:rsid w:val="71C27B24"/>
    <w:rsid w:val="71DB1100"/>
    <w:rsid w:val="71F46AD5"/>
    <w:rsid w:val="723955A2"/>
    <w:rsid w:val="727418D5"/>
    <w:rsid w:val="727B56F4"/>
    <w:rsid w:val="730D63F6"/>
    <w:rsid w:val="7319445C"/>
    <w:rsid w:val="7323729A"/>
    <w:rsid w:val="732F13F0"/>
    <w:rsid w:val="73B87988"/>
    <w:rsid w:val="74317307"/>
    <w:rsid w:val="7437409D"/>
    <w:rsid w:val="74F07286"/>
    <w:rsid w:val="750E0AAE"/>
    <w:rsid w:val="759035E8"/>
    <w:rsid w:val="75A9036C"/>
    <w:rsid w:val="75ED3D1F"/>
    <w:rsid w:val="76171F8A"/>
    <w:rsid w:val="762C181B"/>
    <w:rsid w:val="763A6E0D"/>
    <w:rsid w:val="765C138B"/>
    <w:rsid w:val="768A3F40"/>
    <w:rsid w:val="76EE7B02"/>
    <w:rsid w:val="77267184"/>
    <w:rsid w:val="77296A81"/>
    <w:rsid w:val="77340756"/>
    <w:rsid w:val="776B326D"/>
    <w:rsid w:val="77A2781D"/>
    <w:rsid w:val="782D326C"/>
    <w:rsid w:val="783029BC"/>
    <w:rsid w:val="7843673C"/>
    <w:rsid w:val="7884544A"/>
    <w:rsid w:val="789365AD"/>
    <w:rsid w:val="789C6D54"/>
    <w:rsid w:val="78D81955"/>
    <w:rsid w:val="79170BDC"/>
    <w:rsid w:val="791B6D98"/>
    <w:rsid w:val="79F5BDBF"/>
    <w:rsid w:val="7A0D56D5"/>
    <w:rsid w:val="7AA412A7"/>
    <w:rsid w:val="7ABD7FD8"/>
    <w:rsid w:val="7AD43BCC"/>
    <w:rsid w:val="7AF07BE8"/>
    <w:rsid w:val="7B5632A3"/>
    <w:rsid w:val="7B8A4661"/>
    <w:rsid w:val="7BAF7D78"/>
    <w:rsid w:val="7BDD2618"/>
    <w:rsid w:val="7C2C524C"/>
    <w:rsid w:val="7C362E56"/>
    <w:rsid w:val="7C7C34DC"/>
    <w:rsid w:val="7CDF68F7"/>
    <w:rsid w:val="7D76014B"/>
    <w:rsid w:val="7DE704CC"/>
    <w:rsid w:val="7DF005BA"/>
    <w:rsid w:val="7E246E86"/>
    <w:rsid w:val="7E7D5737"/>
    <w:rsid w:val="7E83714E"/>
    <w:rsid w:val="7E9C1F33"/>
    <w:rsid w:val="7ED30476"/>
    <w:rsid w:val="7F8971FF"/>
    <w:rsid w:val="E6E9B6E6"/>
    <w:rsid w:val="EFFF9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3"/>
    <w:autoRedefine/>
    <w:qFormat/>
    <w:uiPriority w:val="0"/>
    <w:pPr>
      <w:keepNext/>
      <w:keepLines/>
      <w:spacing w:before="340" w:after="330"/>
      <w:outlineLvl w:val="0"/>
    </w:pPr>
    <w:rPr>
      <w:rFonts w:eastAsia="仿宋_GB2312"/>
      <w:b/>
      <w:kern w:val="44"/>
      <w:sz w:val="44"/>
      <w:szCs w:val="20"/>
    </w:rPr>
  </w:style>
  <w:style w:type="paragraph" w:styleId="3">
    <w:name w:val="heading 2"/>
    <w:basedOn w:val="1"/>
    <w:next w:val="1"/>
    <w:link w:val="34"/>
    <w:autoRedefine/>
    <w:qFormat/>
    <w:uiPriority w:val="0"/>
    <w:pPr>
      <w:keepNext/>
      <w:keepLines/>
      <w:spacing w:before="260" w:after="260" w:line="416" w:lineRule="auto"/>
      <w:outlineLvl w:val="1"/>
    </w:pPr>
    <w:rPr>
      <w:rFonts w:ascii="Cambria" w:hAnsi="Cambria"/>
      <w:b/>
      <w:bCs/>
      <w:sz w:val="32"/>
      <w:szCs w:val="32"/>
    </w:rPr>
  </w:style>
  <w:style w:type="paragraph" w:styleId="4">
    <w:name w:val="heading 4"/>
    <w:basedOn w:val="1"/>
    <w:next w:val="1"/>
    <w:link w:val="35"/>
    <w:autoRedefine/>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5">
    <w:name w:val="List Number 2"/>
    <w:basedOn w:val="1"/>
    <w:autoRedefine/>
    <w:qFormat/>
    <w:uiPriority w:val="0"/>
    <w:pPr>
      <w:tabs>
        <w:tab w:val="left" w:pos="312"/>
        <w:tab w:val="left" w:pos="780"/>
      </w:tabs>
    </w:pPr>
    <w:rPr>
      <w:szCs w:val="24"/>
    </w:rPr>
  </w:style>
  <w:style w:type="paragraph" w:styleId="6">
    <w:name w:val="List Number"/>
    <w:basedOn w:val="1"/>
    <w:autoRedefine/>
    <w:qFormat/>
    <w:uiPriority w:val="0"/>
    <w:pPr>
      <w:tabs>
        <w:tab w:val="left" w:pos="360"/>
        <w:tab w:val="left" w:pos="480"/>
      </w:tabs>
      <w:ind w:left="480" w:hanging="480"/>
    </w:pPr>
    <w:rPr>
      <w:szCs w:val="24"/>
    </w:rPr>
  </w:style>
  <w:style w:type="paragraph" w:styleId="7">
    <w:name w:val="Normal Indent"/>
    <w:basedOn w:val="1"/>
    <w:next w:val="1"/>
    <w:link w:val="36"/>
    <w:autoRedefine/>
    <w:qFormat/>
    <w:uiPriority w:val="0"/>
    <w:pPr>
      <w:ind w:firstLine="420" w:firstLineChars="200"/>
    </w:pPr>
    <w:rPr>
      <w:szCs w:val="24"/>
    </w:rPr>
  </w:style>
  <w:style w:type="paragraph" w:styleId="8">
    <w:name w:val="annotation text"/>
    <w:basedOn w:val="1"/>
    <w:link w:val="37"/>
    <w:autoRedefine/>
    <w:qFormat/>
    <w:uiPriority w:val="99"/>
    <w:pPr>
      <w:jc w:val="left"/>
      <w:pPrChange w:id="0" w:author="世奇 蔡" w:date="2024-04-01T15:08:00Z">
        <w:pPr>
          <w:widowControl w:val="0"/>
        </w:pPr>
      </w:pPrChange>
    </w:pPr>
    <w:rPr>
      <w:rPrChange w:id="1" w:author="世奇 蔡" w:date="2024-04-01T15:08:00Z">
        <w:rPr>
          <w:rFonts w:eastAsia="宋体"/>
          <w:kern w:val="2"/>
          <w:sz w:val="21"/>
          <w:szCs w:val="21"/>
          <w:lang w:val="en-US" w:eastAsia="zh-CN" w:bidi="ar-SA"/>
        </w:rPr>
      </w:rPrChange>
    </w:rPr>
  </w:style>
  <w:style w:type="paragraph" w:styleId="9">
    <w:name w:val="Body Text"/>
    <w:basedOn w:val="1"/>
    <w:link w:val="38"/>
    <w:autoRedefine/>
    <w:qFormat/>
    <w:uiPriority w:val="0"/>
    <w:pPr>
      <w:spacing w:line="360" w:lineRule="auto"/>
    </w:pPr>
    <w:rPr>
      <w:rFonts w:ascii="仿宋_GB2312" w:eastAsia="仿宋_GB2312"/>
      <w:sz w:val="24"/>
      <w:szCs w:val="24"/>
    </w:rPr>
  </w:style>
  <w:style w:type="paragraph" w:styleId="10">
    <w:name w:val="Body Text Indent"/>
    <w:basedOn w:val="1"/>
    <w:link w:val="39"/>
    <w:autoRedefine/>
    <w:qFormat/>
    <w:uiPriority w:val="0"/>
    <w:pPr>
      <w:spacing w:line="500" w:lineRule="exact"/>
      <w:ind w:firstLine="510"/>
    </w:pPr>
    <w:rPr>
      <w:rFonts w:ascii="仿宋_GB2312" w:eastAsia="仿宋_GB2312"/>
      <w:sz w:val="24"/>
      <w:szCs w:val="20"/>
    </w:rPr>
  </w:style>
  <w:style w:type="paragraph" w:styleId="11">
    <w:name w:val="List Number 3"/>
    <w:basedOn w:val="1"/>
    <w:autoRedefine/>
    <w:qFormat/>
    <w:uiPriority w:val="0"/>
    <w:pPr>
      <w:tabs>
        <w:tab w:val="left" w:pos="720"/>
        <w:tab w:val="left" w:pos="1200"/>
      </w:tabs>
      <w:ind w:left="720" w:hanging="720"/>
    </w:pPr>
    <w:rPr>
      <w:szCs w:val="24"/>
    </w:rPr>
  </w:style>
  <w:style w:type="paragraph" w:styleId="12">
    <w:name w:val="Plain Text"/>
    <w:basedOn w:val="1"/>
    <w:link w:val="40"/>
    <w:autoRedefine/>
    <w:qFormat/>
    <w:uiPriority w:val="0"/>
    <w:rPr>
      <w:rFonts w:ascii="宋体" w:hAnsi="Courier New"/>
      <w:szCs w:val="20"/>
    </w:rPr>
  </w:style>
  <w:style w:type="paragraph" w:styleId="13">
    <w:name w:val="Date"/>
    <w:basedOn w:val="1"/>
    <w:next w:val="1"/>
    <w:link w:val="41"/>
    <w:autoRedefine/>
    <w:qFormat/>
    <w:uiPriority w:val="0"/>
    <w:pPr>
      <w:ind w:left="100" w:leftChars="2500"/>
    </w:pPr>
  </w:style>
  <w:style w:type="paragraph" w:styleId="14">
    <w:name w:val="Body Text Indent 2"/>
    <w:basedOn w:val="1"/>
    <w:link w:val="42"/>
    <w:autoRedefine/>
    <w:qFormat/>
    <w:uiPriority w:val="0"/>
    <w:pPr>
      <w:spacing w:line="560" w:lineRule="exact"/>
      <w:ind w:firstLine="570"/>
    </w:pPr>
    <w:rPr>
      <w:rFonts w:ascii="宋体"/>
      <w:sz w:val="24"/>
      <w:szCs w:val="20"/>
    </w:rPr>
  </w:style>
  <w:style w:type="paragraph" w:styleId="15">
    <w:name w:val="Balloon Text"/>
    <w:basedOn w:val="1"/>
    <w:link w:val="43"/>
    <w:autoRedefine/>
    <w:qFormat/>
    <w:uiPriority w:val="99"/>
    <w:rPr>
      <w:sz w:val="18"/>
      <w:szCs w:val="18"/>
    </w:rPr>
  </w:style>
  <w:style w:type="paragraph" w:styleId="16">
    <w:name w:val="footer"/>
    <w:basedOn w:val="1"/>
    <w:link w:val="44"/>
    <w:autoRedefine/>
    <w:qFormat/>
    <w:uiPriority w:val="99"/>
    <w:pPr>
      <w:tabs>
        <w:tab w:val="center" w:pos="4153"/>
        <w:tab w:val="right" w:pos="8306"/>
      </w:tabs>
      <w:snapToGrid w:val="0"/>
      <w:jc w:val="left"/>
    </w:pPr>
    <w:rPr>
      <w:sz w:val="18"/>
      <w:szCs w:val="18"/>
    </w:rPr>
  </w:style>
  <w:style w:type="paragraph" w:styleId="17">
    <w:name w:val="header"/>
    <w:basedOn w:val="1"/>
    <w:link w:val="45"/>
    <w:autoRedefine/>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qFormat/>
    <w:uiPriority w:val="0"/>
    <w:rPr>
      <w:szCs w:val="22"/>
    </w:rPr>
  </w:style>
  <w:style w:type="paragraph" w:styleId="19">
    <w:name w:val="Subtitle"/>
    <w:basedOn w:val="1"/>
    <w:next w:val="1"/>
    <w:link w:val="46"/>
    <w:autoRedefine/>
    <w:qFormat/>
    <w:uiPriority w:val="0"/>
    <w:pPr>
      <w:spacing w:before="240" w:after="60" w:line="312" w:lineRule="auto"/>
      <w:jc w:val="center"/>
      <w:outlineLvl w:val="1"/>
    </w:pPr>
    <w:rPr>
      <w:rFonts w:ascii="Cambria" w:hAnsi="Cambria"/>
      <w:b/>
      <w:bCs/>
      <w:kern w:val="28"/>
      <w:sz w:val="32"/>
      <w:szCs w:val="32"/>
    </w:rPr>
  </w:style>
  <w:style w:type="paragraph" w:styleId="20">
    <w:name w:val="Body Text Indent 3"/>
    <w:basedOn w:val="1"/>
    <w:link w:val="47"/>
    <w:autoRedefine/>
    <w:qFormat/>
    <w:uiPriority w:val="0"/>
    <w:pPr>
      <w:spacing w:after="120"/>
      <w:ind w:left="420" w:leftChars="200"/>
    </w:pPr>
    <w:rPr>
      <w:sz w:val="16"/>
      <w:szCs w:val="16"/>
    </w:rPr>
  </w:style>
  <w:style w:type="paragraph" w:styleId="21">
    <w:name w:val="toc 2"/>
    <w:basedOn w:val="1"/>
    <w:next w:val="1"/>
    <w:autoRedefine/>
    <w:qFormat/>
    <w:uiPriority w:val="0"/>
    <w:pPr>
      <w:ind w:left="420" w:leftChars="200"/>
    </w:pPr>
    <w:rPr>
      <w:szCs w:val="22"/>
    </w:rPr>
  </w:style>
  <w:style w:type="paragraph" w:styleId="22">
    <w:name w:val="Body Text 2"/>
    <w:basedOn w:val="1"/>
    <w:link w:val="48"/>
    <w:autoRedefine/>
    <w:qFormat/>
    <w:uiPriority w:val="0"/>
    <w:pPr>
      <w:spacing w:line="360" w:lineRule="auto"/>
    </w:pPr>
    <w:rPr>
      <w:rFonts w:ascii="仿宋_GB2312" w:eastAsia="仿宋_GB2312"/>
      <w:sz w:val="30"/>
      <w:szCs w:val="20"/>
    </w:rPr>
  </w:style>
  <w:style w:type="paragraph" w:styleId="23">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24">
    <w:name w:val="Title"/>
    <w:basedOn w:val="1"/>
    <w:next w:val="1"/>
    <w:link w:val="49"/>
    <w:autoRedefine/>
    <w:qFormat/>
    <w:uiPriority w:val="0"/>
    <w:pPr>
      <w:jc w:val="center"/>
      <w:outlineLvl w:val="0"/>
    </w:pPr>
    <w:rPr>
      <w:rFonts w:ascii="仿宋_GB2312" w:hAnsi="华文中宋" w:eastAsia="仿宋_GB2312"/>
      <w:bCs/>
      <w:kern w:val="0"/>
      <w:sz w:val="32"/>
      <w:szCs w:val="32"/>
    </w:rPr>
  </w:style>
  <w:style w:type="paragraph" w:styleId="25">
    <w:name w:val="annotation subject"/>
    <w:basedOn w:val="8"/>
    <w:next w:val="8"/>
    <w:link w:val="50"/>
    <w:autoRedefine/>
    <w:qFormat/>
    <w:uiPriority w:val="99"/>
    <w:rPr>
      <w:b/>
      <w:bCs/>
      <w:szCs w:val="24"/>
    </w:rPr>
  </w:style>
  <w:style w:type="table" w:styleId="27">
    <w:name w:val="Table Grid"/>
    <w:basedOn w:val="2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page number"/>
    <w:autoRedefine/>
    <w:qFormat/>
    <w:uiPriority w:val="0"/>
  </w:style>
  <w:style w:type="character" w:styleId="30">
    <w:name w:val="FollowedHyperlink"/>
    <w:autoRedefine/>
    <w:qFormat/>
    <w:uiPriority w:val="99"/>
    <w:rPr>
      <w:rFonts w:cs="Times New Roman"/>
      <w:color w:val="800080"/>
      <w:u w:val="single"/>
    </w:rPr>
  </w:style>
  <w:style w:type="character" w:styleId="31">
    <w:name w:val="Hyperlink"/>
    <w:autoRedefine/>
    <w:unhideWhenUsed/>
    <w:qFormat/>
    <w:uiPriority w:val="99"/>
    <w:rPr>
      <w:color w:val="0000FF"/>
      <w:u w:val="single"/>
    </w:rPr>
  </w:style>
  <w:style w:type="character" w:styleId="32">
    <w:name w:val="annotation reference"/>
    <w:autoRedefine/>
    <w:qFormat/>
    <w:uiPriority w:val="99"/>
    <w:rPr>
      <w:rFonts w:cs="Times New Roman"/>
      <w:sz w:val="21"/>
      <w:szCs w:val="21"/>
    </w:rPr>
  </w:style>
  <w:style w:type="character" w:customStyle="1" w:styleId="33">
    <w:name w:val="标题 1 字符1"/>
    <w:link w:val="2"/>
    <w:autoRedefine/>
    <w:qFormat/>
    <w:uiPriority w:val="0"/>
    <w:rPr>
      <w:rFonts w:eastAsia="仿宋_GB2312"/>
      <w:b/>
      <w:kern w:val="44"/>
      <w:sz w:val="44"/>
    </w:rPr>
  </w:style>
  <w:style w:type="character" w:customStyle="1" w:styleId="34">
    <w:name w:val="标题 2 字符1"/>
    <w:link w:val="3"/>
    <w:autoRedefine/>
    <w:semiHidden/>
    <w:qFormat/>
    <w:uiPriority w:val="0"/>
    <w:rPr>
      <w:rFonts w:ascii="Cambria" w:hAnsi="Cambria"/>
      <w:b/>
      <w:bCs/>
      <w:kern w:val="2"/>
      <w:sz w:val="32"/>
      <w:szCs w:val="32"/>
    </w:rPr>
  </w:style>
  <w:style w:type="character" w:customStyle="1" w:styleId="35">
    <w:name w:val="标题 4 字符1"/>
    <w:link w:val="4"/>
    <w:autoRedefine/>
    <w:semiHidden/>
    <w:qFormat/>
    <w:uiPriority w:val="0"/>
    <w:rPr>
      <w:rFonts w:ascii="Cambria" w:hAnsi="Cambria"/>
      <w:b/>
      <w:bCs/>
      <w:kern w:val="2"/>
      <w:sz w:val="28"/>
      <w:szCs w:val="28"/>
    </w:rPr>
  </w:style>
  <w:style w:type="character" w:customStyle="1" w:styleId="36">
    <w:name w:val="正文缩进 字符"/>
    <w:link w:val="7"/>
    <w:autoRedefine/>
    <w:qFormat/>
    <w:uiPriority w:val="0"/>
    <w:rPr>
      <w:kern w:val="2"/>
      <w:sz w:val="21"/>
      <w:szCs w:val="24"/>
    </w:rPr>
  </w:style>
  <w:style w:type="character" w:customStyle="1" w:styleId="37">
    <w:name w:val="批注文字 字符"/>
    <w:link w:val="8"/>
    <w:autoRedefine/>
    <w:qFormat/>
    <w:uiPriority w:val="99"/>
    <w:rPr>
      <w:kern w:val="2"/>
      <w:sz w:val="21"/>
      <w:szCs w:val="21"/>
    </w:rPr>
  </w:style>
  <w:style w:type="character" w:customStyle="1" w:styleId="38">
    <w:name w:val="正文文本 字符1"/>
    <w:link w:val="9"/>
    <w:autoRedefine/>
    <w:qFormat/>
    <w:uiPriority w:val="0"/>
    <w:rPr>
      <w:rFonts w:ascii="仿宋_GB2312" w:eastAsia="仿宋_GB2312"/>
      <w:kern w:val="2"/>
      <w:sz w:val="24"/>
      <w:szCs w:val="24"/>
    </w:rPr>
  </w:style>
  <w:style w:type="character" w:customStyle="1" w:styleId="39">
    <w:name w:val="正文文本缩进 字符1"/>
    <w:link w:val="10"/>
    <w:autoRedefine/>
    <w:qFormat/>
    <w:uiPriority w:val="0"/>
    <w:rPr>
      <w:rFonts w:ascii="仿宋_GB2312" w:eastAsia="仿宋_GB2312"/>
      <w:kern w:val="2"/>
      <w:sz w:val="24"/>
    </w:rPr>
  </w:style>
  <w:style w:type="character" w:customStyle="1" w:styleId="40">
    <w:name w:val="纯文本 字符1"/>
    <w:link w:val="12"/>
    <w:autoRedefine/>
    <w:qFormat/>
    <w:uiPriority w:val="0"/>
    <w:rPr>
      <w:rFonts w:ascii="宋体" w:hAnsi="Courier New"/>
      <w:kern w:val="2"/>
      <w:sz w:val="21"/>
    </w:rPr>
  </w:style>
  <w:style w:type="character" w:customStyle="1" w:styleId="41">
    <w:name w:val="日期 字符1"/>
    <w:link w:val="13"/>
    <w:autoRedefine/>
    <w:qFormat/>
    <w:uiPriority w:val="0"/>
    <w:rPr>
      <w:kern w:val="2"/>
      <w:sz w:val="21"/>
      <w:szCs w:val="21"/>
    </w:rPr>
  </w:style>
  <w:style w:type="character" w:customStyle="1" w:styleId="42">
    <w:name w:val="正文文本缩进 2 字符1"/>
    <w:link w:val="14"/>
    <w:autoRedefine/>
    <w:qFormat/>
    <w:uiPriority w:val="0"/>
    <w:rPr>
      <w:rFonts w:ascii="宋体"/>
      <w:kern w:val="2"/>
      <w:sz w:val="24"/>
    </w:rPr>
  </w:style>
  <w:style w:type="character" w:customStyle="1" w:styleId="43">
    <w:name w:val="批注框文本 字符"/>
    <w:link w:val="15"/>
    <w:autoRedefine/>
    <w:qFormat/>
    <w:uiPriority w:val="99"/>
    <w:rPr>
      <w:kern w:val="2"/>
      <w:sz w:val="18"/>
      <w:szCs w:val="18"/>
    </w:rPr>
  </w:style>
  <w:style w:type="character" w:customStyle="1" w:styleId="44">
    <w:name w:val="页脚 字符1"/>
    <w:link w:val="16"/>
    <w:autoRedefine/>
    <w:qFormat/>
    <w:uiPriority w:val="99"/>
    <w:rPr>
      <w:kern w:val="2"/>
      <w:sz w:val="18"/>
      <w:szCs w:val="18"/>
    </w:rPr>
  </w:style>
  <w:style w:type="character" w:customStyle="1" w:styleId="45">
    <w:name w:val="页眉 字符1"/>
    <w:link w:val="17"/>
    <w:autoRedefine/>
    <w:qFormat/>
    <w:uiPriority w:val="99"/>
    <w:rPr>
      <w:kern w:val="2"/>
      <w:sz w:val="18"/>
      <w:szCs w:val="18"/>
    </w:rPr>
  </w:style>
  <w:style w:type="character" w:customStyle="1" w:styleId="46">
    <w:name w:val="副标题 字符1"/>
    <w:link w:val="19"/>
    <w:autoRedefine/>
    <w:qFormat/>
    <w:uiPriority w:val="0"/>
    <w:rPr>
      <w:rFonts w:ascii="Cambria" w:hAnsi="Cambria"/>
      <w:b/>
      <w:bCs/>
      <w:kern w:val="28"/>
      <w:sz w:val="32"/>
      <w:szCs w:val="32"/>
    </w:rPr>
  </w:style>
  <w:style w:type="character" w:customStyle="1" w:styleId="47">
    <w:name w:val="正文文本缩进 3 字符1"/>
    <w:link w:val="20"/>
    <w:autoRedefine/>
    <w:qFormat/>
    <w:uiPriority w:val="0"/>
    <w:rPr>
      <w:kern w:val="2"/>
      <w:sz w:val="16"/>
      <w:szCs w:val="16"/>
    </w:rPr>
  </w:style>
  <w:style w:type="character" w:customStyle="1" w:styleId="48">
    <w:name w:val="正文文本 2 字符"/>
    <w:link w:val="22"/>
    <w:autoRedefine/>
    <w:qFormat/>
    <w:uiPriority w:val="0"/>
    <w:rPr>
      <w:rFonts w:ascii="仿宋_GB2312" w:eastAsia="仿宋_GB2312"/>
      <w:kern w:val="2"/>
      <w:sz w:val="30"/>
    </w:rPr>
  </w:style>
  <w:style w:type="character" w:customStyle="1" w:styleId="49">
    <w:name w:val="标题 字符"/>
    <w:link w:val="24"/>
    <w:autoRedefine/>
    <w:qFormat/>
    <w:uiPriority w:val="0"/>
    <w:rPr>
      <w:rFonts w:ascii="仿宋_GB2312" w:hAnsi="华文中宋" w:eastAsia="仿宋_GB2312"/>
      <w:bCs/>
      <w:sz w:val="32"/>
      <w:szCs w:val="32"/>
    </w:rPr>
  </w:style>
  <w:style w:type="character" w:customStyle="1" w:styleId="50">
    <w:name w:val="批注主题 字符1"/>
    <w:link w:val="25"/>
    <w:autoRedefine/>
    <w:qFormat/>
    <w:uiPriority w:val="99"/>
    <w:rPr>
      <w:b/>
      <w:bCs/>
      <w:kern w:val="2"/>
      <w:sz w:val="21"/>
      <w:szCs w:val="24"/>
    </w:rPr>
  </w:style>
  <w:style w:type="character" w:customStyle="1" w:styleId="51">
    <w:name w:val="标题 2 Char"/>
    <w:autoRedefine/>
    <w:semiHidden/>
    <w:qFormat/>
    <w:uiPriority w:val="0"/>
    <w:rPr>
      <w:rFonts w:ascii="Cambria" w:hAnsi="Cambria"/>
      <w:b/>
      <w:bCs/>
      <w:kern w:val="2"/>
      <w:sz w:val="32"/>
      <w:szCs w:val="32"/>
    </w:rPr>
  </w:style>
  <w:style w:type="character" w:customStyle="1" w:styleId="52">
    <w:name w:val="正文文本缩进 Char"/>
    <w:autoRedefine/>
    <w:qFormat/>
    <w:uiPriority w:val="0"/>
    <w:rPr>
      <w:rFonts w:ascii="仿宋_GB2312" w:eastAsia="仿宋_GB2312"/>
      <w:kern w:val="2"/>
      <w:sz w:val="24"/>
    </w:rPr>
  </w:style>
  <w:style w:type="character" w:customStyle="1" w:styleId="53">
    <w:name w:val="批注框文本 Char"/>
    <w:autoRedefine/>
    <w:qFormat/>
    <w:uiPriority w:val="99"/>
    <w:rPr>
      <w:rFonts w:ascii="Calibri" w:hAnsi="Calibri" w:eastAsia="宋体"/>
      <w:kern w:val="2"/>
      <w:sz w:val="18"/>
      <w:szCs w:val="18"/>
      <w:lang w:val="en-US" w:eastAsia="zh-CN" w:bidi="ar-SA"/>
    </w:rPr>
  </w:style>
  <w:style w:type="character" w:customStyle="1" w:styleId="54">
    <w:name w:val="副标题 字符"/>
    <w:autoRedefine/>
    <w:qFormat/>
    <w:uiPriority w:val="0"/>
    <w:rPr>
      <w:rFonts w:ascii="等线 Light" w:hAnsi="等线 Light" w:cs="Times New Roman"/>
      <w:b/>
      <w:bCs/>
      <w:kern w:val="28"/>
      <w:sz w:val="32"/>
      <w:szCs w:val="32"/>
    </w:rPr>
  </w:style>
  <w:style w:type="character" w:customStyle="1" w:styleId="55">
    <w:name w:val="标题 Char"/>
    <w:autoRedefine/>
    <w:qFormat/>
    <w:uiPriority w:val="10"/>
    <w:rPr>
      <w:rFonts w:ascii="Cambria" w:hAnsi="Cambria"/>
      <w:b/>
      <w:bCs/>
      <w:kern w:val="2"/>
      <w:sz w:val="32"/>
      <w:szCs w:val="32"/>
    </w:rPr>
  </w:style>
  <w:style w:type="character" w:customStyle="1" w:styleId="56">
    <w:name w:val="页脚 字符"/>
    <w:autoRedefine/>
    <w:qFormat/>
    <w:uiPriority w:val="99"/>
    <w:rPr>
      <w:sz w:val="18"/>
      <w:szCs w:val="18"/>
    </w:rPr>
  </w:style>
  <w:style w:type="character" w:customStyle="1" w:styleId="57">
    <w:name w:val="不明显强调1"/>
    <w:autoRedefine/>
    <w:qFormat/>
    <w:uiPriority w:val="19"/>
    <w:rPr>
      <w:i/>
      <w:iCs/>
      <w:color w:val="808080"/>
    </w:rPr>
  </w:style>
  <w:style w:type="character" w:customStyle="1" w:styleId="58">
    <w:name w:val="批注文字 Char"/>
    <w:autoRedefine/>
    <w:qFormat/>
    <w:uiPriority w:val="99"/>
    <w:rPr>
      <w:rFonts w:eastAsia="宋体"/>
      <w:kern w:val="2"/>
      <w:sz w:val="21"/>
      <w:szCs w:val="24"/>
      <w:lang w:bidi="ar-SA"/>
    </w:rPr>
  </w:style>
  <w:style w:type="character" w:customStyle="1" w:styleId="59">
    <w:name w:val="页眉 字符"/>
    <w:autoRedefine/>
    <w:qFormat/>
    <w:uiPriority w:val="99"/>
    <w:rPr>
      <w:sz w:val="18"/>
      <w:szCs w:val="18"/>
    </w:rPr>
  </w:style>
  <w:style w:type="character" w:customStyle="1" w:styleId="60">
    <w:name w:val="纯文本 Char1"/>
    <w:autoRedefine/>
    <w:qFormat/>
    <w:locked/>
    <w:uiPriority w:val="0"/>
    <w:rPr>
      <w:rFonts w:ascii="宋体" w:hAnsi="Courier New" w:eastAsia="宋体"/>
      <w:sz w:val="24"/>
      <w:szCs w:val="24"/>
      <w:lang w:bidi="ar-SA"/>
    </w:rPr>
  </w:style>
  <w:style w:type="character" w:customStyle="1" w:styleId="61">
    <w:name w:val="正文2 Char"/>
    <w:link w:val="62"/>
    <w:autoRedefine/>
    <w:qFormat/>
    <w:uiPriority w:val="0"/>
    <w:rPr>
      <w:kern w:val="2"/>
      <w:sz w:val="24"/>
    </w:rPr>
  </w:style>
  <w:style w:type="paragraph" w:customStyle="1" w:styleId="62">
    <w:name w:val="正文2"/>
    <w:basedOn w:val="1"/>
    <w:link w:val="61"/>
    <w:autoRedefine/>
    <w:qFormat/>
    <w:uiPriority w:val="0"/>
    <w:pPr>
      <w:spacing w:before="156" w:line="360" w:lineRule="auto"/>
      <w:ind w:firstLine="510" w:firstLineChars="200"/>
    </w:pPr>
    <w:rPr>
      <w:sz w:val="24"/>
      <w:szCs w:val="20"/>
    </w:rPr>
  </w:style>
  <w:style w:type="character" w:customStyle="1" w:styleId="63">
    <w:name w:val="font21"/>
    <w:autoRedefine/>
    <w:qFormat/>
    <w:uiPriority w:val="0"/>
    <w:rPr>
      <w:rFonts w:hint="default" w:ascii="Times New Roman" w:hAnsi="Times New Roman" w:cs="Times New Roman"/>
      <w:color w:val="000000"/>
      <w:sz w:val="20"/>
      <w:szCs w:val="20"/>
      <w:u w:val="none"/>
    </w:rPr>
  </w:style>
  <w:style w:type="character" w:customStyle="1" w:styleId="64">
    <w:name w:val="正文文本 字符"/>
    <w:autoRedefine/>
    <w:qFormat/>
    <w:uiPriority w:val="0"/>
    <w:rPr>
      <w:kern w:val="2"/>
      <w:sz w:val="21"/>
      <w:szCs w:val="21"/>
    </w:rPr>
  </w:style>
  <w:style w:type="character" w:customStyle="1" w:styleId="65">
    <w:name w:val="批注文字 Char1"/>
    <w:autoRedefine/>
    <w:qFormat/>
    <w:uiPriority w:val="0"/>
    <w:rPr>
      <w:kern w:val="2"/>
      <w:sz w:val="21"/>
      <w:szCs w:val="21"/>
    </w:rPr>
  </w:style>
  <w:style w:type="character" w:customStyle="1" w:styleId="66">
    <w:name w:val="批注主题 字符"/>
    <w:autoRedefine/>
    <w:qFormat/>
    <w:uiPriority w:val="0"/>
    <w:rPr>
      <w:b/>
      <w:bCs/>
      <w:kern w:val="2"/>
      <w:sz w:val="21"/>
      <w:szCs w:val="21"/>
    </w:rPr>
  </w:style>
  <w:style w:type="character" w:customStyle="1" w:styleId="67">
    <w:name w:val="纯文本 字符"/>
    <w:autoRedefine/>
    <w:qFormat/>
    <w:uiPriority w:val="0"/>
    <w:rPr>
      <w:rFonts w:ascii="宋体" w:hAnsi="Courier New" w:cs="Courier New"/>
      <w:kern w:val="2"/>
      <w:sz w:val="21"/>
      <w:szCs w:val="21"/>
    </w:rPr>
  </w:style>
  <w:style w:type="character" w:customStyle="1" w:styleId="68">
    <w:name w:val="正文文本 (2) + 8.5 pt2"/>
    <w:autoRedefine/>
    <w:qFormat/>
    <w:uiPriority w:val="0"/>
    <w:rPr>
      <w:rFonts w:ascii="MingLiU" w:hAnsi="MingLiU" w:eastAsia="MingLiU"/>
      <w:color w:val="000000"/>
      <w:spacing w:val="0"/>
      <w:w w:val="100"/>
      <w:position w:val="0"/>
      <w:sz w:val="17"/>
      <w:lang w:val="zh-CN" w:eastAsia="zh-CN"/>
    </w:rPr>
  </w:style>
  <w:style w:type="character" w:customStyle="1" w:styleId="69">
    <w:name w:val="正文文本 (2) + 8.5 pt1"/>
    <w:autoRedefine/>
    <w:qFormat/>
    <w:uiPriority w:val="0"/>
    <w:rPr>
      <w:rFonts w:ascii="MingLiU" w:hAnsi="MingLiU" w:eastAsia="MingLiU"/>
      <w:color w:val="000000"/>
      <w:spacing w:val="0"/>
      <w:w w:val="100"/>
      <w:position w:val="0"/>
      <w:sz w:val="17"/>
      <w:lang w:val="zh-CN" w:eastAsia="zh-CN"/>
    </w:rPr>
  </w:style>
  <w:style w:type="character" w:customStyle="1" w:styleId="70">
    <w:name w:val="正文文本 (2) + 12 pt"/>
    <w:autoRedefine/>
    <w:qFormat/>
    <w:uiPriority w:val="0"/>
    <w:rPr>
      <w:rFonts w:ascii="MingLiU" w:hAnsi="MingLiU" w:eastAsia="MingLiU"/>
      <w:color w:val="000000"/>
      <w:spacing w:val="0"/>
      <w:w w:val="100"/>
      <w:position w:val="0"/>
      <w:sz w:val="24"/>
      <w:lang w:val="zh-CN" w:eastAsia="zh-CN"/>
    </w:rPr>
  </w:style>
  <w:style w:type="character" w:customStyle="1" w:styleId="71">
    <w:name w:val="正文文本 (2) + FrankRuehl"/>
    <w:autoRedefine/>
    <w:qFormat/>
    <w:uiPriority w:val="0"/>
    <w:rPr>
      <w:rFonts w:ascii="FrankRuehl" w:hAnsi="FrankRuehl" w:eastAsia="Times New Roman"/>
      <w:b/>
      <w:color w:val="000000"/>
      <w:spacing w:val="0"/>
      <w:w w:val="100"/>
      <w:position w:val="0"/>
      <w:sz w:val="18"/>
      <w:lang w:val="en-US" w:eastAsia="en-US" w:bidi="he-IL"/>
    </w:rPr>
  </w:style>
  <w:style w:type="character" w:customStyle="1" w:styleId="72">
    <w:name w:val="不明显参考1"/>
    <w:autoRedefine/>
    <w:qFormat/>
    <w:uiPriority w:val="31"/>
    <w:rPr>
      <w:smallCaps/>
      <w:color w:val="C0504D"/>
      <w:u w:val="single"/>
    </w:rPr>
  </w:style>
  <w:style w:type="character" w:customStyle="1" w:styleId="73">
    <w:name w:val="标题 1 字符"/>
    <w:autoRedefine/>
    <w:qFormat/>
    <w:uiPriority w:val="0"/>
    <w:rPr>
      <w:b/>
      <w:bCs/>
      <w:kern w:val="44"/>
      <w:sz w:val="44"/>
      <w:szCs w:val="44"/>
    </w:rPr>
  </w:style>
  <w:style w:type="character" w:customStyle="1" w:styleId="74">
    <w:name w:val="正文文本缩进 字符"/>
    <w:autoRedefine/>
    <w:qFormat/>
    <w:uiPriority w:val="0"/>
    <w:rPr>
      <w:kern w:val="2"/>
      <w:sz w:val="21"/>
      <w:szCs w:val="21"/>
    </w:rPr>
  </w:style>
  <w:style w:type="character" w:customStyle="1" w:styleId="75">
    <w:name w:val="副标题 Char"/>
    <w:autoRedefine/>
    <w:qFormat/>
    <w:uiPriority w:val="11"/>
    <w:rPr>
      <w:rFonts w:ascii="Cambria" w:hAnsi="Cambria"/>
      <w:b/>
      <w:bCs/>
      <w:kern w:val="28"/>
      <w:sz w:val="32"/>
      <w:szCs w:val="32"/>
    </w:rPr>
  </w:style>
  <w:style w:type="character" w:customStyle="1" w:styleId="76">
    <w:name w:val="font01"/>
    <w:autoRedefine/>
    <w:qFormat/>
    <w:uiPriority w:val="0"/>
    <w:rPr>
      <w:rFonts w:hint="eastAsia" w:ascii="宋体" w:hAnsi="宋体" w:eastAsia="宋体"/>
      <w:color w:val="000000"/>
      <w:sz w:val="22"/>
      <w:szCs w:val="22"/>
      <w:u w:val="none"/>
    </w:rPr>
  </w:style>
  <w:style w:type="character" w:customStyle="1" w:styleId="77">
    <w:name w:val="正文文本缩进 2 字符"/>
    <w:autoRedefine/>
    <w:qFormat/>
    <w:uiPriority w:val="0"/>
    <w:rPr>
      <w:kern w:val="2"/>
      <w:sz w:val="21"/>
      <w:szCs w:val="21"/>
    </w:rPr>
  </w:style>
  <w:style w:type="character" w:customStyle="1" w:styleId="78">
    <w:name w:val="标题 2 字符"/>
    <w:autoRedefine/>
    <w:semiHidden/>
    <w:qFormat/>
    <w:uiPriority w:val="0"/>
    <w:rPr>
      <w:rFonts w:ascii="等线 Light" w:hAnsi="等线 Light" w:eastAsia="等线 Light" w:cs="Times New Roman"/>
      <w:b/>
      <w:bCs/>
      <w:kern w:val="2"/>
      <w:sz w:val="32"/>
      <w:szCs w:val="32"/>
    </w:rPr>
  </w:style>
  <w:style w:type="character" w:customStyle="1" w:styleId="79">
    <w:name w:val="正文文本 (2) + 9 pt"/>
    <w:autoRedefine/>
    <w:qFormat/>
    <w:uiPriority w:val="0"/>
    <w:rPr>
      <w:rFonts w:ascii="MingLiU" w:hAnsi="MingLiU" w:eastAsia="MingLiU"/>
      <w:b/>
      <w:color w:val="000000"/>
      <w:spacing w:val="0"/>
      <w:w w:val="100"/>
      <w:position w:val="0"/>
      <w:sz w:val="18"/>
      <w:lang w:val="zh-CN" w:eastAsia="zh-CN"/>
    </w:rPr>
  </w:style>
  <w:style w:type="character" w:customStyle="1" w:styleId="80">
    <w:name w:val="标题 Char1"/>
    <w:autoRedefine/>
    <w:qFormat/>
    <w:uiPriority w:val="0"/>
    <w:rPr>
      <w:rFonts w:ascii="Cambria" w:hAnsi="Cambria" w:eastAsia="宋体" w:cs="Times New Roman"/>
      <w:b/>
      <w:bCs/>
      <w:sz w:val="32"/>
      <w:szCs w:val="32"/>
    </w:rPr>
  </w:style>
  <w:style w:type="character" w:customStyle="1" w:styleId="81">
    <w:name w:val="正文文本缩进 3 字符"/>
    <w:autoRedefine/>
    <w:qFormat/>
    <w:uiPriority w:val="0"/>
    <w:rPr>
      <w:kern w:val="2"/>
      <w:sz w:val="16"/>
      <w:szCs w:val="16"/>
    </w:rPr>
  </w:style>
  <w:style w:type="character" w:customStyle="1" w:styleId="82">
    <w:name w:val="正文段 Char"/>
    <w:link w:val="83"/>
    <w:autoRedefine/>
    <w:qFormat/>
    <w:uiPriority w:val="0"/>
    <w:rPr>
      <w:sz w:val="24"/>
    </w:rPr>
  </w:style>
  <w:style w:type="paragraph" w:customStyle="1" w:styleId="83">
    <w:name w:val="正文段"/>
    <w:basedOn w:val="1"/>
    <w:link w:val="82"/>
    <w:autoRedefine/>
    <w:qFormat/>
    <w:uiPriority w:val="0"/>
    <w:pPr>
      <w:widowControl/>
      <w:snapToGrid w:val="0"/>
      <w:spacing w:after="156" w:afterLines="50"/>
      <w:ind w:firstLine="200" w:firstLineChars="200"/>
    </w:pPr>
    <w:rPr>
      <w:kern w:val="0"/>
      <w:sz w:val="24"/>
      <w:szCs w:val="20"/>
    </w:rPr>
  </w:style>
  <w:style w:type="character" w:customStyle="1" w:styleId="84">
    <w:name w:val="日期 字符"/>
    <w:autoRedefine/>
    <w:qFormat/>
    <w:uiPriority w:val="0"/>
    <w:rPr>
      <w:rFonts w:ascii="Times New Roman" w:hAnsi="Times New Roman" w:eastAsia="宋体" w:cs="Times New Roman"/>
    </w:rPr>
  </w:style>
  <w:style w:type="character" w:customStyle="1" w:styleId="85">
    <w:name w:val="font11"/>
    <w:autoRedefine/>
    <w:qFormat/>
    <w:uiPriority w:val="0"/>
    <w:rPr>
      <w:rFonts w:hint="eastAsia" w:ascii="黑体" w:hAnsi="黑体" w:eastAsia="黑体"/>
      <w:color w:val="FF0000"/>
      <w:sz w:val="36"/>
      <w:szCs w:val="36"/>
      <w:u w:val="none"/>
    </w:rPr>
  </w:style>
  <w:style w:type="character" w:customStyle="1" w:styleId="86">
    <w:name w:val="标题 4 字符"/>
    <w:autoRedefine/>
    <w:semiHidden/>
    <w:qFormat/>
    <w:uiPriority w:val="0"/>
    <w:rPr>
      <w:rFonts w:ascii="等线 Light" w:hAnsi="等线 Light" w:eastAsia="等线 Light" w:cs="Times New Roman"/>
      <w:b/>
      <w:bCs/>
      <w:kern w:val="2"/>
      <w:sz w:val="28"/>
      <w:szCs w:val="28"/>
    </w:rPr>
  </w:style>
  <w:style w:type="character" w:customStyle="1" w:styleId="87">
    <w:name w:val="页脚 Char"/>
    <w:autoRedefine/>
    <w:qFormat/>
    <w:uiPriority w:val="99"/>
    <w:rPr>
      <w:rFonts w:eastAsia="Calibri"/>
      <w:sz w:val="21"/>
    </w:rPr>
  </w:style>
  <w:style w:type="character" w:customStyle="1" w:styleId="88">
    <w:name w:val="标题 字符1"/>
    <w:autoRedefine/>
    <w:qFormat/>
    <w:uiPriority w:val="0"/>
    <w:rPr>
      <w:rFonts w:ascii="等线 Light" w:hAnsi="等线 Light" w:cs="Times New Roman"/>
      <w:b/>
      <w:bCs/>
      <w:kern w:val="2"/>
      <w:sz w:val="32"/>
      <w:szCs w:val="32"/>
    </w:rPr>
  </w:style>
  <w:style w:type="paragraph" w:customStyle="1" w:styleId="89">
    <w:name w:val="表格标题"/>
    <w:basedOn w:val="1"/>
    <w:autoRedefine/>
    <w:qFormat/>
    <w:uiPriority w:val="0"/>
    <w:pPr>
      <w:shd w:val="clear" w:color="auto" w:fill="FFFFFF"/>
      <w:spacing w:line="240" w:lineRule="atLeast"/>
      <w:jc w:val="left"/>
    </w:pPr>
    <w:rPr>
      <w:rFonts w:ascii="MingLiU" w:hAnsi="MingLiU" w:eastAsia="MingLiU" w:cs="MingLiU"/>
      <w:color w:val="000000"/>
      <w:kern w:val="0"/>
      <w:sz w:val="24"/>
      <w:szCs w:val="24"/>
      <w:lang w:val="zh-CN"/>
    </w:rPr>
  </w:style>
  <w:style w:type="paragraph" w:customStyle="1" w:styleId="90">
    <w:name w:val="xl77"/>
    <w:basedOn w:val="1"/>
    <w:autoRedefine/>
    <w:qFormat/>
    <w:uiPriority w:val="0"/>
    <w:pPr>
      <w:widowControl/>
      <w:pBdr>
        <w:top w:val="single" w:color="auto" w:sz="8" w:space="0"/>
        <w:left w:val="single" w:color="auto" w:sz="8" w:space="0"/>
        <w:right w:val="single" w:color="auto" w:sz="8" w:space="0"/>
      </w:pBdr>
      <w:shd w:val="clear" w:color="000000" w:fill="A6A6A6"/>
      <w:spacing w:before="100" w:beforeAutospacing="1" w:after="100" w:afterAutospacing="1"/>
      <w:jc w:val="center"/>
      <w:textAlignment w:val="center"/>
    </w:pPr>
    <w:rPr>
      <w:rFonts w:ascii="等线" w:hAnsi="等线" w:eastAsia="等线" w:cs="宋体"/>
      <w:b/>
      <w:bCs/>
      <w:color w:val="000000"/>
      <w:kern w:val="0"/>
      <w:sz w:val="22"/>
      <w:szCs w:val="22"/>
    </w:rPr>
  </w:style>
  <w:style w:type="paragraph" w:customStyle="1" w:styleId="91">
    <w:name w:val="xl78"/>
    <w:basedOn w:val="1"/>
    <w:autoRedefine/>
    <w:qFormat/>
    <w:uiPriority w:val="0"/>
    <w:pPr>
      <w:widowControl/>
      <w:pBdr>
        <w:left w:val="single" w:color="auto" w:sz="8" w:space="0"/>
        <w:bottom w:val="single" w:color="auto" w:sz="8" w:space="0"/>
        <w:right w:val="single" w:color="auto" w:sz="8" w:space="0"/>
      </w:pBdr>
      <w:shd w:val="clear" w:color="000000" w:fill="A6A6A6"/>
      <w:spacing w:before="100" w:beforeAutospacing="1" w:after="100" w:afterAutospacing="1"/>
      <w:jc w:val="center"/>
      <w:textAlignment w:val="center"/>
    </w:pPr>
    <w:rPr>
      <w:rFonts w:ascii="等线" w:hAnsi="等线" w:eastAsia="等线" w:cs="宋体"/>
      <w:b/>
      <w:bCs/>
      <w:color w:val="000000"/>
      <w:kern w:val="0"/>
      <w:sz w:val="22"/>
      <w:szCs w:val="22"/>
    </w:rPr>
  </w:style>
  <w:style w:type="paragraph" w:customStyle="1" w:styleId="92">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93">
    <w:name w:val="font7"/>
    <w:basedOn w:val="1"/>
    <w:autoRedefine/>
    <w:qFormat/>
    <w:uiPriority w:val="0"/>
    <w:pPr>
      <w:widowControl/>
      <w:spacing w:before="100" w:beforeAutospacing="1" w:after="100" w:afterAutospacing="1"/>
      <w:jc w:val="left"/>
    </w:pPr>
    <w:rPr>
      <w:rFonts w:eastAsia="Arial Unicode MS"/>
      <w:kern w:val="0"/>
      <w:sz w:val="20"/>
      <w:szCs w:val="20"/>
    </w:rPr>
  </w:style>
  <w:style w:type="paragraph" w:customStyle="1" w:styleId="94">
    <w:name w:val="xl6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szCs w:val="24"/>
    </w:rPr>
  </w:style>
  <w:style w:type="paragraph" w:customStyle="1" w:styleId="95">
    <w:name w:val="图片标题 (3)"/>
    <w:basedOn w:val="1"/>
    <w:autoRedefine/>
    <w:qFormat/>
    <w:uiPriority w:val="0"/>
    <w:pPr>
      <w:shd w:val="clear" w:color="auto" w:fill="FFFFFF"/>
      <w:spacing w:line="240" w:lineRule="atLeast"/>
      <w:jc w:val="center"/>
    </w:pPr>
    <w:rPr>
      <w:rFonts w:ascii="MingLiU" w:hAnsi="MingLiU" w:eastAsia="MingLiU" w:cs="MingLiU"/>
      <w:color w:val="000000"/>
      <w:kern w:val="0"/>
      <w:sz w:val="36"/>
      <w:szCs w:val="36"/>
      <w:lang w:val="zh-CN"/>
    </w:rPr>
  </w:style>
  <w:style w:type="paragraph" w:customStyle="1" w:styleId="96">
    <w:name w:val="Char1"/>
    <w:basedOn w:val="1"/>
    <w:autoRedefine/>
    <w:qFormat/>
    <w:uiPriority w:val="0"/>
    <w:rPr>
      <w:rFonts w:ascii="仿宋_GB2312" w:eastAsia="仿宋_GB2312"/>
      <w:b/>
      <w:sz w:val="32"/>
      <w:szCs w:val="32"/>
    </w:rPr>
  </w:style>
  <w:style w:type="paragraph" w:customStyle="1" w:styleId="97">
    <w:name w:val="正文文本 (5)1"/>
    <w:basedOn w:val="1"/>
    <w:autoRedefine/>
    <w:qFormat/>
    <w:uiPriority w:val="0"/>
    <w:pPr>
      <w:shd w:val="clear" w:color="auto" w:fill="FFFFFF"/>
      <w:spacing w:line="475" w:lineRule="exact"/>
      <w:jc w:val="distribute"/>
    </w:pPr>
    <w:rPr>
      <w:rFonts w:ascii="MingLiU" w:hAnsi="MingLiU" w:eastAsia="MingLiU" w:cs="MingLiU"/>
      <w:color w:val="000000"/>
      <w:kern w:val="0"/>
      <w:sz w:val="24"/>
      <w:szCs w:val="24"/>
      <w:lang w:val="zh-CN"/>
    </w:rPr>
  </w:style>
  <w:style w:type="paragraph" w:customStyle="1" w:styleId="98">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楷体_GB2312" w:hAnsi="Arial Unicode MS" w:eastAsia="楷体_GB2312"/>
      <w:b/>
      <w:bCs/>
      <w:kern w:val="0"/>
      <w:sz w:val="18"/>
      <w:szCs w:val="18"/>
    </w:rPr>
  </w:style>
  <w:style w:type="paragraph" w:customStyle="1" w:styleId="99">
    <w:name w:val="标题 #3"/>
    <w:basedOn w:val="1"/>
    <w:autoRedefine/>
    <w:qFormat/>
    <w:uiPriority w:val="0"/>
    <w:pPr>
      <w:shd w:val="clear" w:color="auto" w:fill="FFFFFF"/>
      <w:spacing w:line="523" w:lineRule="exact"/>
      <w:jc w:val="center"/>
      <w:outlineLvl w:val="2"/>
    </w:pPr>
    <w:rPr>
      <w:rFonts w:ascii="MingLiU" w:hAnsi="MingLiU" w:eastAsia="MingLiU" w:cs="MingLiU"/>
      <w:b/>
      <w:bCs/>
      <w:color w:val="000000"/>
      <w:kern w:val="0"/>
      <w:sz w:val="28"/>
      <w:szCs w:val="28"/>
      <w:lang w:val="zh-CN"/>
    </w:rPr>
  </w:style>
  <w:style w:type="paragraph" w:customStyle="1" w:styleId="100">
    <w:name w:val="正文文本 (2)4"/>
    <w:basedOn w:val="1"/>
    <w:autoRedefine/>
    <w:qFormat/>
    <w:uiPriority w:val="0"/>
    <w:pPr>
      <w:shd w:val="clear" w:color="auto" w:fill="FFFFFF"/>
      <w:spacing w:line="624" w:lineRule="exact"/>
      <w:ind w:hanging="640"/>
      <w:jc w:val="distribute"/>
    </w:pPr>
    <w:rPr>
      <w:rFonts w:ascii="MingLiU" w:hAnsi="MingLiU" w:eastAsia="MingLiU" w:cs="MingLiU"/>
      <w:color w:val="000000"/>
      <w:kern w:val="0"/>
      <w:sz w:val="26"/>
      <w:szCs w:val="26"/>
      <w:lang w:val="zh-CN"/>
    </w:rPr>
  </w:style>
  <w:style w:type="paragraph" w:customStyle="1" w:styleId="101">
    <w:name w:val="xl63"/>
    <w:basedOn w:val="1"/>
    <w:autoRedefine/>
    <w:qFormat/>
    <w:uiPriority w:val="0"/>
    <w:pPr>
      <w:widowControl/>
      <w:pBdr>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02">
    <w:name w:val="xl65"/>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03">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楷体_GB2312" w:hAnsi="宋体" w:eastAsia="楷体_GB2312" w:cs="宋体"/>
      <w:b/>
      <w:bCs/>
      <w:color w:val="333333"/>
      <w:kern w:val="0"/>
      <w:sz w:val="24"/>
      <w:szCs w:val="24"/>
    </w:rPr>
  </w:style>
  <w:style w:type="paragraph" w:customStyle="1" w:styleId="104">
    <w:name w:val="列出段落1"/>
    <w:basedOn w:val="1"/>
    <w:autoRedefine/>
    <w:qFormat/>
    <w:uiPriority w:val="0"/>
    <w:pPr>
      <w:ind w:firstLine="420" w:firstLineChars="200"/>
    </w:pPr>
    <w:rPr>
      <w:rFonts w:ascii="Calibri" w:hAnsi="Calibri"/>
      <w:szCs w:val="22"/>
    </w:rPr>
  </w:style>
  <w:style w:type="paragraph" w:customStyle="1" w:styleId="105">
    <w:name w:val="xl76"/>
    <w:basedOn w:val="1"/>
    <w:autoRedefine/>
    <w:qFormat/>
    <w:uiPriority w:val="0"/>
    <w:pPr>
      <w:widowControl/>
      <w:pBdr>
        <w:left w:val="single" w:color="auto" w:sz="8" w:space="0"/>
        <w:bottom w:val="single" w:color="auto" w:sz="8" w:space="0"/>
        <w:right w:val="single" w:color="auto" w:sz="8" w:space="0"/>
      </w:pBdr>
      <w:shd w:val="clear" w:color="000000" w:fill="A6A6A6"/>
      <w:spacing w:before="100" w:beforeAutospacing="1" w:after="100" w:afterAutospacing="1"/>
      <w:jc w:val="center"/>
      <w:textAlignment w:val="center"/>
    </w:pPr>
    <w:rPr>
      <w:rFonts w:ascii="等线" w:hAnsi="等线" w:eastAsia="等线" w:cs="宋体"/>
      <w:b/>
      <w:bCs/>
      <w:color w:val="000000"/>
      <w:kern w:val="0"/>
      <w:sz w:val="22"/>
      <w:szCs w:val="22"/>
    </w:rPr>
  </w:style>
  <w:style w:type="paragraph" w:customStyle="1" w:styleId="106">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仿宋_GB2312" w:hAnsi="宋体" w:eastAsia="仿宋_GB2312" w:cs="宋体"/>
      <w:color w:val="333333"/>
      <w:kern w:val="0"/>
      <w:sz w:val="22"/>
      <w:szCs w:val="22"/>
    </w:rPr>
  </w:style>
  <w:style w:type="paragraph" w:customStyle="1" w:styleId="107">
    <w:name w:val="font6"/>
    <w:basedOn w:val="1"/>
    <w:autoRedefine/>
    <w:qFormat/>
    <w:uiPriority w:val="0"/>
    <w:pPr>
      <w:widowControl/>
      <w:spacing w:before="100" w:beforeAutospacing="1" w:after="100" w:afterAutospacing="1"/>
      <w:jc w:val="left"/>
    </w:pPr>
    <w:rPr>
      <w:rFonts w:ascii="Arial" w:hAnsi="Arial" w:cs="Arial"/>
      <w:b/>
      <w:bCs/>
      <w:color w:val="000000"/>
      <w:kern w:val="0"/>
      <w:sz w:val="24"/>
      <w:szCs w:val="24"/>
    </w:rPr>
  </w:style>
  <w:style w:type="paragraph" w:customStyle="1" w:styleId="108">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09">
    <w:name w:val="font0"/>
    <w:basedOn w:val="1"/>
    <w:autoRedefine/>
    <w:qFormat/>
    <w:uiPriority w:val="0"/>
    <w:pPr>
      <w:widowControl/>
      <w:spacing w:before="100" w:beforeAutospacing="1" w:after="100" w:afterAutospacing="1"/>
      <w:jc w:val="left"/>
    </w:pPr>
    <w:rPr>
      <w:rFonts w:ascii="Arial" w:hAnsi="Arial" w:cs="Arial"/>
      <w:kern w:val="0"/>
      <w:sz w:val="20"/>
      <w:szCs w:val="20"/>
    </w:rPr>
  </w:style>
  <w:style w:type="paragraph" w:customStyle="1" w:styleId="110">
    <w:name w:val="正文文本 (9)"/>
    <w:basedOn w:val="1"/>
    <w:autoRedefine/>
    <w:qFormat/>
    <w:uiPriority w:val="0"/>
    <w:pPr>
      <w:shd w:val="clear" w:color="auto" w:fill="FFFFFF"/>
      <w:spacing w:line="240" w:lineRule="atLeast"/>
      <w:jc w:val="distribute"/>
    </w:pPr>
    <w:rPr>
      <w:rFonts w:ascii="MingLiU" w:hAnsi="MingLiU" w:eastAsia="MingLiU" w:cs="MingLiU"/>
      <w:color w:val="000000"/>
      <w:spacing w:val="-10"/>
      <w:kern w:val="0"/>
      <w:sz w:val="22"/>
      <w:szCs w:val="22"/>
      <w:lang w:val="zh-CN"/>
    </w:rPr>
  </w:style>
  <w:style w:type="paragraph" w:customStyle="1" w:styleId="111">
    <w:name w:val="正文文本 (12)"/>
    <w:basedOn w:val="1"/>
    <w:autoRedefine/>
    <w:qFormat/>
    <w:uiPriority w:val="0"/>
    <w:pPr>
      <w:shd w:val="clear" w:color="auto" w:fill="FFFFFF"/>
      <w:spacing w:line="624" w:lineRule="exact"/>
      <w:jc w:val="distribute"/>
    </w:pPr>
    <w:rPr>
      <w:rFonts w:ascii="MingLiU" w:hAnsi="MingLiU" w:eastAsia="MingLiU" w:cs="MingLiU"/>
      <w:color w:val="000000"/>
      <w:kern w:val="0"/>
      <w:sz w:val="26"/>
      <w:szCs w:val="26"/>
      <w:lang w:val="zh-CN"/>
    </w:rPr>
  </w:style>
  <w:style w:type="paragraph" w:styleId="112">
    <w:name w:val="List Paragraph"/>
    <w:basedOn w:val="1"/>
    <w:autoRedefine/>
    <w:qFormat/>
    <w:uiPriority w:val="34"/>
    <w:pPr>
      <w:ind w:firstLine="420" w:firstLineChars="200"/>
    </w:pPr>
    <w:rPr>
      <w:szCs w:val="22"/>
    </w:rPr>
  </w:style>
  <w:style w:type="paragraph" w:customStyle="1" w:styleId="113">
    <w:name w:val="_Style 57"/>
    <w:basedOn w:val="1"/>
    <w:next w:val="112"/>
    <w:autoRedefine/>
    <w:qFormat/>
    <w:uiPriority w:val="34"/>
    <w:pPr>
      <w:ind w:firstLine="420" w:firstLineChars="200"/>
    </w:pPr>
    <w:rPr>
      <w:szCs w:val="24"/>
    </w:rPr>
  </w:style>
  <w:style w:type="paragraph" w:customStyle="1" w:styleId="114">
    <w:name w:val="正文文本 (11)"/>
    <w:basedOn w:val="1"/>
    <w:autoRedefine/>
    <w:qFormat/>
    <w:uiPriority w:val="0"/>
    <w:pPr>
      <w:shd w:val="clear" w:color="auto" w:fill="FFFFFF"/>
      <w:spacing w:line="624" w:lineRule="exact"/>
      <w:jc w:val="distribute"/>
    </w:pPr>
    <w:rPr>
      <w:rFonts w:ascii="MingLiU" w:hAnsi="MingLiU" w:eastAsia="MingLiU" w:cs="MingLiU"/>
      <w:color w:val="000000"/>
      <w:kern w:val="0"/>
      <w:sz w:val="26"/>
      <w:szCs w:val="26"/>
      <w:lang w:val="zh-CN"/>
    </w:rPr>
  </w:style>
  <w:style w:type="paragraph" w:customStyle="1" w:styleId="115">
    <w:name w:val="正文文本 (4)"/>
    <w:basedOn w:val="1"/>
    <w:autoRedefine/>
    <w:qFormat/>
    <w:uiPriority w:val="0"/>
    <w:pPr>
      <w:shd w:val="clear" w:color="auto" w:fill="FFFFFF"/>
      <w:spacing w:line="1253" w:lineRule="exact"/>
      <w:jc w:val="left"/>
    </w:pPr>
    <w:rPr>
      <w:rFonts w:ascii="MingLiU" w:hAnsi="MingLiU" w:eastAsia="MingLiU" w:cs="MingLiU"/>
      <w:b/>
      <w:bCs/>
      <w:color w:val="000000"/>
      <w:kern w:val="0"/>
      <w:sz w:val="28"/>
      <w:szCs w:val="28"/>
      <w:lang w:val="zh-CN"/>
    </w:rPr>
  </w:style>
  <w:style w:type="paragraph" w:customStyle="1" w:styleId="116">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7">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0"/>
      <w:szCs w:val="20"/>
    </w:rPr>
  </w:style>
  <w:style w:type="paragraph" w:customStyle="1" w:styleId="118">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9">
    <w:name w:val="图片标题 (2)"/>
    <w:basedOn w:val="1"/>
    <w:autoRedefine/>
    <w:qFormat/>
    <w:uiPriority w:val="0"/>
    <w:pPr>
      <w:shd w:val="clear" w:color="auto" w:fill="FFFFFF"/>
      <w:spacing w:line="922" w:lineRule="exact"/>
      <w:jc w:val="center"/>
    </w:pPr>
    <w:rPr>
      <w:rFonts w:ascii="MingLiU" w:hAnsi="MingLiU" w:eastAsia="MingLiU" w:cs="MingLiU"/>
      <w:color w:val="000000"/>
      <w:kern w:val="0"/>
      <w:sz w:val="52"/>
      <w:szCs w:val="52"/>
      <w:lang w:val="zh-CN"/>
    </w:rPr>
  </w:style>
  <w:style w:type="paragraph" w:customStyle="1" w:styleId="120">
    <w:name w:val="正文文本 (3)"/>
    <w:basedOn w:val="1"/>
    <w:autoRedefine/>
    <w:qFormat/>
    <w:uiPriority w:val="0"/>
    <w:pPr>
      <w:shd w:val="clear" w:color="auto" w:fill="FFFFFF"/>
      <w:spacing w:line="240" w:lineRule="atLeast"/>
      <w:jc w:val="left"/>
    </w:pPr>
    <w:rPr>
      <w:rFonts w:ascii="MingLiU" w:hAnsi="MingLiU" w:eastAsia="MingLiU" w:cs="MingLiU"/>
      <w:color w:val="000000"/>
      <w:kern w:val="0"/>
      <w:sz w:val="98"/>
      <w:szCs w:val="98"/>
      <w:lang w:val="zh-CN"/>
    </w:rPr>
  </w:style>
  <w:style w:type="paragraph" w:customStyle="1" w:styleId="121">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color w:val="333333"/>
      <w:kern w:val="0"/>
      <w:sz w:val="22"/>
      <w:szCs w:val="22"/>
    </w:rPr>
  </w:style>
  <w:style w:type="paragraph" w:customStyle="1" w:styleId="122">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32"/>
      <w:szCs w:val="32"/>
    </w:rPr>
  </w:style>
  <w:style w:type="paragraph" w:customStyle="1" w:styleId="123">
    <w:name w:val="xl66"/>
    <w:basedOn w:val="1"/>
    <w:autoRedefine/>
    <w:qFormat/>
    <w:uiPriority w:val="0"/>
    <w:pPr>
      <w:widowControl/>
      <w:spacing w:before="100" w:beforeAutospacing="1" w:after="100" w:afterAutospacing="1"/>
      <w:jc w:val="center"/>
    </w:pPr>
    <w:rPr>
      <w:rFonts w:ascii="宋体" w:hAnsi="宋体" w:cs="宋体"/>
      <w:kern w:val="0"/>
      <w:sz w:val="24"/>
      <w:szCs w:val="24"/>
    </w:rPr>
  </w:style>
  <w:style w:type="paragraph" w:customStyle="1" w:styleId="124">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25">
    <w:name w:val="xl75"/>
    <w:basedOn w:val="1"/>
    <w:autoRedefine/>
    <w:qFormat/>
    <w:uiPriority w:val="0"/>
    <w:pPr>
      <w:widowControl/>
      <w:pBdr>
        <w:top w:val="single" w:color="auto" w:sz="8" w:space="0"/>
        <w:left w:val="single" w:color="auto" w:sz="8" w:space="0"/>
        <w:right w:val="single" w:color="auto" w:sz="8" w:space="0"/>
      </w:pBdr>
      <w:shd w:val="clear" w:color="000000" w:fill="A6A6A6"/>
      <w:spacing w:before="100" w:beforeAutospacing="1" w:after="100" w:afterAutospacing="1"/>
      <w:jc w:val="center"/>
      <w:textAlignment w:val="center"/>
    </w:pPr>
    <w:rPr>
      <w:rFonts w:ascii="等线" w:hAnsi="等线" w:eastAsia="等线" w:cs="宋体"/>
      <w:b/>
      <w:bCs/>
      <w:color w:val="000000"/>
      <w:kern w:val="0"/>
      <w:sz w:val="22"/>
      <w:szCs w:val="22"/>
    </w:rPr>
  </w:style>
  <w:style w:type="paragraph" w:customStyle="1" w:styleId="126">
    <w:name w:val="标题 #2"/>
    <w:basedOn w:val="1"/>
    <w:autoRedefine/>
    <w:qFormat/>
    <w:uiPriority w:val="0"/>
    <w:pPr>
      <w:shd w:val="clear" w:color="auto" w:fill="FFFFFF"/>
      <w:spacing w:line="240" w:lineRule="atLeast"/>
      <w:jc w:val="left"/>
      <w:outlineLvl w:val="1"/>
    </w:pPr>
    <w:rPr>
      <w:rFonts w:ascii="MingLiU" w:hAnsi="MingLiU" w:eastAsia="MingLiU" w:cs="MingLiU"/>
      <w:color w:val="000000"/>
      <w:kern w:val="0"/>
      <w:sz w:val="32"/>
      <w:szCs w:val="32"/>
      <w:lang w:val="zh-CN"/>
    </w:rPr>
  </w:style>
  <w:style w:type="paragraph" w:customStyle="1" w:styleId="127">
    <w:name w:val="无间隔1"/>
    <w:autoRedefine/>
    <w:qFormat/>
    <w:uiPriority w:val="0"/>
    <w:pPr>
      <w:widowControl w:val="0"/>
    </w:pPr>
    <w:rPr>
      <w:rFonts w:ascii="HAKUYOCaoShu3500" w:hAnsi="HAKUYOCaoShu3500" w:eastAsia="HAKUYOCaoShu3500" w:cs="HAKUYOCaoShu3500"/>
      <w:color w:val="000000"/>
      <w:sz w:val="24"/>
      <w:szCs w:val="24"/>
      <w:lang w:val="zh-CN" w:eastAsia="zh-CN" w:bidi="ar-SA"/>
    </w:rPr>
  </w:style>
  <w:style w:type="paragraph" w:customStyle="1" w:styleId="128">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29">
    <w:name w:val="xl74"/>
    <w:basedOn w:val="1"/>
    <w:autoRedefine/>
    <w:qFormat/>
    <w:uiPriority w:val="0"/>
    <w:pPr>
      <w:widowControl/>
      <w:pBdr>
        <w:bottom w:val="single" w:color="auto" w:sz="8" w:space="0"/>
      </w:pBdr>
      <w:spacing w:before="100" w:beforeAutospacing="1" w:after="100" w:afterAutospacing="1"/>
      <w:textAlignment w:val="center"/>
    </w:pPr>
    <w:rPr>
      <w:rFonts w:ascii="等线" w:hAnsi="等线" w:eastAsia="等线" w:cs="宋体"/>
      <w:b/>
      <w:bCs/>
      <w:color w:val="FF0000"/>
      <w:kern w:val="0"/>
      <w:sz w:val="22"/>
      <w:szCs w:val="22"/>
    </w:rPr>
  </w:style>
  <w:style w:type="paragraph" w:customStyle="1" w:styleId="130">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cs="Arial Unicode MS"/>
      <w:kern w:val="0"/>
      <w:sz w:val="20"/>
      <w:szCs w:val="20"/>
    </w:rPr>
  </w:style>
  <w:style w:type="paragraph" w:customStyle="1" w:styleId="131">
    <w:name w:val="浅色列表 - 强调文字颜色 31"/>
    <w:autoRedefine/>
    <w:semiHidden/>
    <w:qFormat/>
    <w:uiPriority w:val="99"/>
    <w:rPr>
      <w:rFonts w:ascii="Times New Roman" w:hAnsi="Times New Roman" w:eastAsia="宋体" w:cs="Times New Roman"/>
      <w:kern w:val="2"/>
      <w:sz w:val="21"/>
      <w:szCs w:val="24"/>
      <w:lang w:val="en-US" w:eastAsia="zh-CN" w:bidi="ar-SA"/>
    </w:rPr>
  </w:style>
  <w:style w:type="character" w:customStyle="1" w:styleId="132">
    <w:name w:val="font41"/>
    <w:basedOn w:val="28"/>
    <w:autoRedefine/>
    <w:qFormat/>
    <w:uiPriority w:val="0"/>
    <w:rPr>
      <w:rFonts w:hint="eastAsia" w:ascii="宋体" w:hAnsi="宋体" w:eastAsia="宋体" w:cs="宋体"/>
      <w:color w:val="000000"/>
      <w:sz w:val="21"/>
      <w:szCs w:val="21"/>
      <w:u w:val="none"/>
    </w:rPr>
  </w:style>
  <w:style w:type="character" w:customStyle="1" w:styleId="133">
    <w:name w:val="font61"/>
    <w:basedOn w:val="28"/>
    <w:autoRedefine/>
    <w:qFormat/>
    <w:uiPriority w:val="0"/>
    <w:rPr>
      <w:rFonts w:hint="eastAsia" w:ascii="宋体" w:hAnsi="宋体" w:eastAsia="宋体" w:cs="宋体"/>
      <w:b/>
      <w:bCs/>
      <w:color w:val="000000"/>
      <w:sz w:val="20"/>
      <w:szCs w:val="20"/>
      <w:u w:val="none"/>
    </w:rPr>
  </w:style>
  <w:style w:type="character" w:customStyle="1" w:styleId="134">
    <w:name w:val="font31"/>
    <w:basedOn w:val="28"/>
    <w:autoRedefine/>
    <w:qFormat/>
    <w:uiPriority w:val="0"/>
    <w:rPr>
      <w:rFonts w:hint="default" w:ascii="Times New Roman" w:hAnsi="Times New Roman" w:cs="Times New Roman"/>
      <w:color w:val="000000"/>
      <w:sz w:val="21"/>
      <w:szCs w:val="21"/>
      <w:u w:val="none"/>
    </w:rPr>
  </w:style>
  <w:style w:type="character" w:customStyle="1" w:styleId="135">
    <w:name w:val="font51"/>
    <w:basedOn w:val="28"/>
    <w:autoRedefine/>
    <w:qFormat/>
    <w:uiPriority w:val="0"/>
    <w:rPr>
      <w:rFonts w:hint="eastAsia" w:ascii="宋体" w:hAnsi="宋体" w:eastAsia="宋体" w:cs="宋体"/>
      <w:color w:val="FF0000"/>
      <w:sz w:val="20"/>
      <w:szCs w:val="20"/>
      <w:u w:val="none"/>
    </w:rPr>
  </w:style>
  <w:style w:type="character" w:customStyle="1" w:styleId="136">
    <w:name w:val="font71"/>
    <w:basedOn w:val="28"/>
    <w:autoRedefine/>
    <w:qFormat/>
    <w:uiPriority w:val="0"/>
    <w:rPr>
      <w:rFonts w:hint="eastAsia" w:ascii="宋体" w:hAnsi="宋体" w:eastAsia="宋体" w:cs="宋体"/>
      <w:b/>
      <w:bCs/>
      <w:color w:val="FF0000"/>
      <w:sz w:val="20"/>
      <w:szCs w:val="20"/>
      <w:u w:val="none"/>
    </w:rPr>
  </w:style>
  <w:style w:type="paragraph" w:customStyle="1" w:styleId="137">
    <w:name w:val="修订1"/>
    <w:autoRedefine/>
    <w:hidden/>
    <w:unhideWhenUsed/>
    <w:qFormat/>
    <w:uiPriority w:val="99"/>
    <w:rPr>
      <w:rFonts w:ascii="Times New Roman" w:hAnsi="Times New Roman" w:eastAsia="宋体" w:cs="Times New Roman"/>
      <w:kern w:val="2"/>
      <w:sz w:val="21"/>
      <w:szCs w:val="21"/>
      <w:lang w:val="en-US" w:eastAsia="zh-CN" w:bidi="ar-SA"/>
    </w:rPr>
  </w:style>
  <w:style w:type="paragraph" w:customStyle="1" w:styleId="138">
    <w:name w:val="修订2"/>
    <w:hidden/>
    <w:unhideWhenUsed/>
    <w:uiPriority w:val="99"/>
    <w:rPr>
      <w:rFonts w:ascii="Times New Roman" w:hAnsi="Times New Roman" w:eastAsia="宋体" w:cs="Times New Roman"/>
      <w:kern w:val="2"/>
      <w:sz w:val="21"/>
      <w:szCs w:val="21"/>
      <w:lang w:val="en-US" w:eastAsia="zh-CN" w:bidi="ar-SA"/>
    </w:rPr>
  </w:style>
  <w:style w:type="paragraph" w:customStyle="1" w:styleId="139">
    <w:name w:val="修订3"/>
    <w:hidden/>
    <w:unhideWhenUsed/>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42</Pages>
  <Words>4167</Words>
  <Characters>23754</Characters>
  <Lines>197</Lines>
  <Paragraphs>55</Paragraphs>
  <TotalTime>110</TotalTime>
  <ScaleCrop>false</ScaleCrop>
  <LinksUpToDate>false</LinksUpToDate>
  <CharactersWithSpaces>27866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2024-03-28T06:29:00Z</dcterms:created>
  <dc:creator>YlmF</dc:creator>
  <cp:lastModifiedBy>APPLE</cp:lastModifiedBy>
  <cp:lastPrinted>2019-04-11T06:06:00Z</cp:lastPrinted>
  <dcterms:modified xsi:type="dcterms:W3CDTF">2024-04-08T01:19:13Z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AE35FFFDF16C4C6FAA65124625DD16AC_13</vt:lpwstr>
  </property>
</Properties>
</file>