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3"/>
          <w:szCs w:val="33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麻步镇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人民政府202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根据《中华人民共和国政府信息公开条例》（国务院令711号，以下简称条例）的规定和《中华人民共和国政府信息公开工作年度报告格式》（国办公开办函〔2021〕30号）的要求， 现将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麻步镇2022年政府信息公开年度报告向社会公布。本年报中所列数据的统计期限从2022年1月1日起至2022年12月31日止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。本年报的电子版可以从麻步镇人民政府网站（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instrText xml:space="preserve"> HYPERLINK "http://www.zjpy.gov.cn/col/col1229393121/index.html" </w:instrTex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http://www.zjpy.gov.cn/col/col1229393121/index.html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）下载。如对本报告有任何疑问，请与麻步镇党政综合办公室联系（地址：麻步镇人民政府大楼420室，电话：63511334，邮编：325403）。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年，我县严格按照《条例》规定，结合部门工作实际，切实加强政策解读、积极回应社会关切，规范开展政府信息公开工作，保障人民群众的知情权。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（一）主动公开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年1月1日起至202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年12月31日，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麻步镇政府信息公开网站（http://www.zjpy.gov.cn/col/col1229393121/index.html）共更新主动公开政务信息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  <w:lang w:eastAsia="zh-CN"/>
        </w:rPr>
        <w:t>，其中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内设机构占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%，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  <w:lang w:eastAsia="zh-CN"/>
        </w:rPr>
        <w:t>社会救助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  <w:lang w:val="en-US" w:eastAsia="zh-CN"/>
        </w:rPr>
        <w:t>13%，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通知公告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%。另外微信公众号“麻步发布”更新信息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  <w:lang w:val="en-US" w:eastAsia="zh-CN"/>
        </w:rPr>
        <w:t>1800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条，微博账号“麻步宣传”更新信息35条。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（二）依申请公开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2022年度，我镇依申请政府信息公开0条。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（三）政府信息管理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  <w:lang w:eastAsia="zh-CN"/>
        </w:rPr>
        <w:t>我镇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时刻把关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  <w:lang w:eastAsia="zh-CN"/>
        </w:rPr>
        <w:t>公开发布信息的质量，规范信息采集、审核、发布、更新等流程。同时，为了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确保公开信息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安全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对需要主动公开的信息进行严格的审查，确保发出的信息无错敏、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  <w:lang w:eastAsia="zh-CN"/>
        </w:rPr>
        <w:t>不涉密、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无负面舆情风险。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）平台建设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一是始终坚持把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  <w:lang w:eastAsia="zh-CN"/>
        </w:rPr>
        <w:t>麻步镇政府信息公开网站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作为政府信息公开第一渠道，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  <w:lang w:eastAsia="zh-CN"/>
        </w:rPr>
        <w:t>及时更新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政府信息公开专栏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  <w:lang w:eastAsia="zh-CN"/>
        </w:rPr>
        <w:t>内容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，提高政府网站在政府信息公开方面的影响力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二是强化科室协作，及时搜集各科室需要公开发布的信息，提升政务公开效率。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监督保障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我镇政府信息公开发布人员设立2人，一人信息编辑，一人审核监督，严格落实审核制度，加强信息发布审核把关，严格执行“分级审核、先审后发”程序，确保信息发布准确、安全、高效。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DFDF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  <w:lang w:eastAsia="zh-CN"/>
        </w:rPr>
        <w:t>同时，县里对各乡镇信息公开情况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“每月一督查，每月一通报”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  <w:lang w:eastAsia="zh-CN"/>
        </w:rPr>
        <w:t>。对于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整改通报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  <w:lang w:eastAsia="zh-CN"/>
        </w:rPr>
        <w:t>，我镇始终积极响应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，第一时间整改反馈。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DFDFE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黑体" w:hAnsi="黑体" w:eastAsia="黑体" w:cs="黑体"/>
          <w:i w:val="0"/>
          <w:caps w:val="0"/>
          <w:color w:val="3D3D3D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5"/>
        <w:tblW w:w="973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信息内容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本年制发件数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本年废止件数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highlight w:val="none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highlight w:val="none"/>
              </w:rPr>
            </w:pPr>
            <w:r>
              <w:rPr>
                <w:highlight w:val="none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highlight w:val="none"/>
              </w:rPr>
            </w:pPr>
            <w:r>
              <w:rPr>
                <w:highlight w:val="none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 w:eastAsiaTheme="minorEastAsia"/>
                <w:lang w:eastAsia="zh-CN"/>
              </w:rPr>
            </w:pPr>
            <w:r>
              <w:rPr>
                <w:rFonts w:hint="default"/>
                <w:lang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highlight w:val="none"/>
              </w:rPr>
            </w:pPr>
            <w:r>
              <w:rPr>
                <w:highlight w:val="none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highlight w:val="none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黑体" w:hAnsi="黑体" w:eastAsia="黑体" w:cs="黑体"/>
          <w:i w:val="0"/>
          <w:caps w:val="0"/>
          <w:color w:val="3D3D3D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5"/>
        <w:tblW w:w="9750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5"/>
        <w:gridCol w:w="3218"/>
        <w:gridCol w:w="689"/>
        <w:gridCol w:w="689"/>
        <w:gridCol w:w="689"/>
        <w:gridCol w:w="689"/>
        <w:gridCol w:w="689"/>
        <w:gridCol w:w="689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（本列数据的勾稽关系为：第一项加第二项之和，等于第三项加第四项之和）</w:t>
            </w:r>
          </w:p>
        </w:tc>
        <w:tc>
          <w:tcPr>
            <w:tcW w:w="4822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自然人</w:t>
            </w:r>
          </w:p>
        </w:tc>
        <w:tc>
          <w:tcPr>
            <w:tcW w:w="34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法人或其他组织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企业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机构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社会公益组织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法律服务机构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其他</w:t>
            </w: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一、本年新收政府信息公开申请数量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二、上年结转政府信息公开申请数量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（一）予以公开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（二）部分公开（区分处理的，只计这一情形，不计其他情形）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（三）不予公开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1.属于国家秘密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2.其他法律行政法规禁止公开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3.危及“三安全一稳定”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4.保护第三方合法权益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5.属于三类内部事务信息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6.属于四类过程性信息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7.属于行政执法案卷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8.属于行政查询事项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（四）无法提供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1.本机关不掌握相关政府信息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2.没有现成信息需要另行制作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/>
                <w:lang w:val="en-US" w:eastAsia="zh-CN"/>
              </w:rPr>
              <w:t>0</w:t>
            </w:r>
            <w: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3.补正后申请内容仍不明确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（五）不予处理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1.信访举报投诉类申请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2.重复申请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3.要求提供公开出版物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4.无正当理由大量反复申请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5.要求行政机关确认或重新出具已获取信息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（六）其他处理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1.申请人无正当理由逾期不补正、行政机关不再处理其政府信息公开申请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2.申请人逾期未按收费通知要求缴纳费用、行政机关不再处理其政府信息公开申请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3.其他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（七）总计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四、结转下年度继续办理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黑体" w:hAnsi="黑体" w:eastAsia="黑体" w:cs="黑体"/>
          <w:i w:val="0"/>
          <w:caps w:val="0"/>
          <w:color w:val="3D3D3D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5"/>
        <w:tblW w:w="9754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555"/>
        <w:gridCol w:w="540"/>
        <w:gridCol w:w="574"/>
        <w:gridCol w:w="615"/>
        <w:gridCol w:w="660"/>
        <w:gridCol w:w="630"/>
        <w:gridCol w:w="615"/>
        <w:gridCol w:w="630"/>
        <w:gridCol w:w="750"/>
        <w:gridCol w:w="630"/>
        <w:gridCol w:w="675"/>
        <w:gridCol w:w="675"/>
        <w:gridCol w:w="675"/>
        <w:gridCol w:w="9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行政复议</w:t>
            </w:r>
          </w:p>
        </w:tc>
        <w:tc>
          <w:tcPr>
            <w:tcW w:w="6928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4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结果维持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结果 纠正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其他结果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尚未审结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总计</w:t>
            </w: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未经复议直接起诉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default"/>
              </w:rPr>
            </w:pPr>
            <w:r>
              <w:t xml:space="preserve">复议后起诉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结果维持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结果纠正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其他结果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尚未审结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总计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结果维持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结果纠正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其他结果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尚未审结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75" w:hRule="atLeast"/>
          <w:jc w:val="center"/>
        </w:trPr>
        <w:tc>
          <w:tcPr>
            <w:tcW w:w="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/>
                <w:lang w:val="en-US" w:eastAsia="zh-CN"/>
              </w:rPr>
              <w:t>0</w:t>
            </w:r>
            <w: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1.宣传不够到位，群众参与和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群众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监督力度不够。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2.内容不够丰富，主要局限于上级要求公开的内容。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 w:firstLine="630" w:firstLineChars="20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对于上述问题，我镇将进一步改进如下：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（1）加大宣传力度，围绕公众关切点梳理、整合各类信息，建设相关专题，力求群众知情、群众参与、群众满意。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（2）进一步深化群众关注的重点领域信息公开，明确各领域公开内容，修订完善主动公开目录，确保应公开尽公开。加大对政府重点工作、重要决策部署、重大改革措施的解读力度，及时关注舆情，回应社会关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本年度本机关未收取政府信息公开处理费，无其他需要报告的事项。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  <w:lang w:eastAsia="zh-CN"/>
        </w:rPr>
        <w:t>麻步镇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人民政府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年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月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17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DFDFE"/>
        </w:rPr>
        <w:t>日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DFDFE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ans-serif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NTRiMjBkNGYzNzk3ODQ4MjkwNTBmYWQ4YTI0MzMifQ=="/>
  </w:docVars>
  <w:rsids>
    <w:rsidRoot w:val="00000000"/>
    <w:rsid w:val="00AA024F"/>
    <w:rsid w:val="00C72EF2"/>
    <w:rsid w:val="072F4BA5"/>
    <w:rsid w:val="08D8520F"/>
    <w:rsid w:val="0BBB7E41"/>
    <w:rsid w:val="0BD0037E"/>
    <w:rsid w:val="0F42566A"/>
    <w:rsid w:val="0FE32618"/>
    <w:rsid w:val="13CC3B21"/>
    <w:rsid w:val="15A840D9"/>
    <w:rsid w:val="17534F7D"/>
    <w:rsid w:val="1A1354F6"/>
    <w:rsid w:val="1B931963"/>
    <w:rsid w:val="1BFD612D"/>
    <w:rsid w:val="1C786A02"/>
    <w:rsid w:val="1FB80810"/>
    <w:rsid w:val="20AE397E"/>
    <w:rsid w:val="22923CA7"/>
    <w:rsid w:val="23B06487"/>
    <w:rsid w:val="2480713E"/>
    <w:rsid w:val="271A48A4"/>
    <w:rsid w:val="2FDCA60E"/>
    <w:rsid w:val="3074374E"/>
    <w:rsid w:val="32D00D1D"/>
    <w:rsid w:val="3EE50C95"/>
    <w:rsid w:val="3F933D41"/>
    <w:rsid w:val="44253E15"/>
    <w:rsid w:val="464E762D"/>
    <w:rsid w:val="47491336"/>
    <w:rsid w:val="482B5309"/>
    <w:rsid w:val="4B5D5371"/>
    <w:rsid w:val="519D4381"/>
    <w:rsid w:val="566E50F8"/>
    <w:rsid w:val="56857A37"/>
    <w:rsid w:val="56E33E75"/>
    <w:rsid w:val="57DC0772"/>
    <w:rsid w:val="5ABA5A4E"/>
    <w:rsid w:val="5DA51639"/>
    <w:rsid w:val="5E1B6E25"/>
    <w:rsid w:val="5F923D07"/>
    <w:rsid w:val="5FCE6A83"/>
    <w:rsid w:val="5FEB66AA"/>
    <w:rsid w:val="6023011F"/>
    <w:rsid w:val="641A130C"/>
    <w:rsid w:val="65A55F2A"/>
    <w:rsid w:val="65CC163A"/>
    <w:rsid w:val="65DF776E"/>
    <w:rsid w:val="6869059D"/>
    <w:rsid w:val="6CC62B47"/>
    <w:rsid w:val="6EB526D3"/>
    <w:rsid w:val="6EC41F3F"/>
    <w:rsid w:val="6F7EEAE4"/>
    <w:rsid w:val="6FFFF269"/>
    <w:rsid w:val="706F5CB5"/>
    <w:rsid w:val="71695024"/>
    <w:rsid w:val="71F97C24"/>
    <w:rsid w:val="71FE23A3"/>
    <w:rsid w:val="73A82CCA"/>
    <w:rsid w:val="73CEE39B"/>
    <w:rsid w:val="75EA36F0"/>
    <w:rsid w:val="774A009A"/>
    <w:rsid w:val="77707769"/>
    <w:rsid w:val="79AE2194"/>
    <w:rsid w:val="7A8A1E57"/>
    <w:rsid w:val="7B440FF1"/>
    <w:rsid w:val="7D7C7DE7"/>
    <w:rsid w:val="7DBFB622"/>
    <w:rsid w:val="7E851D4C"/>
    <w:rsid w:val="7ED5B0D7"/>
    <w:rsid w:val="7F6D0C3F"/>
    <w:rsid w:val="7FA73E32"/>
    <w:rsid w:val="8DBFB21A"/>
    <w:rsid w:val="97F55A27"/>
    <w:rsid w:val="BD35CA79"/>
    <w:rsid w:val="BDFFFAF9"/>
    <w:rsid w:val="EDFF7AC8"/>
    <w:rsid w:val="EF0F1879"/>
    <w:rsid w:val="F7F39765"/>
    <w:rsid w:val="FEFB5AA8"/>
    <w:rsid w:val="FFE5E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1816</Words>
  <Characters>2003</Characters>
  <Lines>0</Lines>
  <Paragraphs>0</Paragraphs>
  <TotalTime>830</TotalTime>
  <ScaleCrop>false</ScaleCrop>
  <LinksUpToDate>false</LinksUpToDate>
  <CharactersWithSpaces>2013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2021-01-08T17:14:00Z</dcterms:created>
  <dc:creator>Administrator</dc:creator>
  <cp:lastModifiedBy>Administrator</cp:lastModifiedBy>
  <dcterms:modified xsi:type="dcterms:W3CDTF">2023-01-18T01:14:08Z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BEAFA1CC52054FED95E253385442A037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