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cs="宋体"/>
          <w:b/>
          <w:color w:val="000000"/>
          <w:kern w:val="0"/>
          <w:sz w:val="36"/>
          <w:szCs w:val="36"/>
        </w:rPr>
      </w:pPr>
      <w:r>
        <w:rPr>
          <w:rFonts w:hint="eastAsia"/>
          <w:b/>
          <w:sz w:val="36"/>
          <w:szCs w:val="36"/>
        </w:rPr>
        <w:t>关于公开征求《平阳县垃圾填埋场工程（水头镇）土地和房屋征收补偿安置实施细则（修订）（征求意见稿）</w:t>
      </w:r>
      <w:r>
        <w:rPr>
          <w:rFonts w:hint="eastAsia" w:ascii="宋体" w:hAnsi="宋体" w:cs="宋体"/>
          <w:b/>
          <w:color w:val="000000"/>
          <w:kern w:val="0"/>
          <w:sz w:val="36"/>
          <w:szCs w:val="36"/>
        </w:rPr>
        <w:t>》的</w:t>
      </w:r>
      <w:r>
        <w:rPr>
          <w:rFonts w:hint="eastAsia"/>
          <w:b/>
          <w:sz w:val="36"/>
          <w:szCs w:val="36"/>
        </w:rPr>
        <w:t>意见</w:t>
      </w:r>
    </w:p>
    <w:p>
      <w:pPr>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hAnsi="宋体" w:eastAsia="仿宋_GB2312"/>
          <w:sz w:val="32"/>
          <w:szCs w:val="32"/>
        </w:rPr>
        <w:t>为加快推进平阳县城市化进程，顺利开展</w:t>
      </w:r>
      <w:r>
        <w:rPr>
          <w:rFonts w:hint="eastAsia" w:ascii="仿宋_GB2312" w:eastAsia="仿宋_GB2312"/>
          <w:sz w:val="32"/>
          <w:szCs w:val="32"/>
        </w:rPr>
        <w:t>阳县垃圾填埋场建设</w:t>
      </w:r>
      <w:r>
        <w:rPr>
          <w:rFonts w:hint="eastAsia" w:ascii="仿宋_GB2312" w:hAnsi="宋体" w:eastAsia="仿宋_GB2312"/>
          <w:sz w:val="32"/>
          <w:szCs w:val="32"/>
        </w:rPr>
        <w:t>工作</w:t>
      </w:r>
      <w:r>
        <w:rPr>
          <w:rFonts w:hint="eastAsia" w:ascii="仿宋_GB2312" w:eastAsia="仿宋_GB2312"/>
          <w:sz w:val="32"/>
          <w:szCs w:val="32"/>
        </w:rPr>
        <w:t>，现公开征求《平阳县垃圾填埋场工程（水头镇）土地和房屋征收补偿安置实施细则</w:t>
      </w:r>
      <w:r>
        <w:rPr>
          <w:rFonts w:hint="eastAsia" w:ascii="仿宋_GB2312" w:hAnsi="宋体" w:eastAsia="仿宋_GB2312"/>
          <w:spacing w:val="8"/>
          <w:sz w:val="32"/>
          <w:szCs w:val="32"/>
        </w:rPr>
        <w:t>（征求意见稿）</w:t>
      </w:r>
      <w:r>
        <w:rPr>
          <w:rFonts w:hint="eastAsia" w:ascii="仿宋_GB2312" w:eastAsia="仿宋_GB2312"/>
          <w:sz w:val="32"/>
          <w:szCs w:val="32"/>
        </w:rPr>
        <w:t>》的意见，如有不同意见，请在30日内以书面形式反馈至平阳县人民政府房屋征收管理办公室。（传真：0577-63889036）</w:t>
      </w:r>
    </w:p>
    <w:p>
      <w:pPr>
        <w:spacing w:line="560" w:lineRule="exact"/>
        <w:ind w:firstLine="646"/>
        <w:rPr>
          <w:rFonts w:ascii="仿宋_GB2312" w:eastAsia="仿宋_GB2312"/>
          <w:sz w:val="32"/>
          <w:szCs w:val="32"/>
        </w:rPr>
      </w:pPr>
      <w:bookmarkStart w:id="3" w:name="_GoBack"/>
      <w:bookmarkEnd w:id="3"/>
    </w:p>
    <w:p>
      <w:pPr>
        <w:spacing w:line="560" w:lineRule="exact"/>
        <w:ind w:firstLine="646"/>
        <w:rPr>
          <w:rFonts w:ascii="仿宋_GB2312" w:eastAsia="仿宋_GB2312"/>
          <w:sz w:val="32"/>
          <w:szCs w:val="32"/>
        </w:rPr>
      </w:pPr>
    </w:p>
    <w:p>
      <w:pPr>
        <w:spacing w:line="560" w:lineRule="exact"/>
        <w:ind w:firstLine="646"/>
        <w:rPr>
          <w:rFonts w:ascii="仿宋_GB2312" w:eastAsia="仿宋_GB2312"/>
          <w:sz w:val="32"/>
          <w:szCs w:val="32"/>
        </w:rPr>
      </w:pPr>
    </w:p>
    <w:p>
      <w:pPr>
        <w:spacing w:line="560" w:lineRule="exact"/>
        <w:ind w:firstLine="3040" w:firstLineChars="950"/>
        <w:rPr>
          <w:rFonts w:ascii="仿宋_GB2312" w:eastAsia="仿宋_GB2312"/>
          <w:sz w:val="32"/>
          <w:szCs w:val="32"/>
        </w:rPr>
      </w:pPr>
      <w:r>
        <w:rPr>
          <w:rFonts w:hint="eastAsia" w:ascii="仿宋_GB2312" w:eastAsia="仿宋_GB2312"/>
          <w:sz w:val="32"/>
          <w:szCs w:val="32"/>
        </w:rPr>
        <w:t>平阳县人民政府房屋征收管理办公室</w:t>
      </w:r>
    </w:p>
    <w:p>
      <w:pPr>
        <w:spacing w:line="560" w:lineRule="exact"/>
        <w:ind w:firstLine="646"/>
        <w:rPr>
          <w:rFonts w:ascii="仿宋_GB2312" w:eastAsia="仿宋_GB2312"/>
          <w:sz w:val="32"/>
          <w:szCs w:val="32"/>
        </w:rPr>
      </w:pPr>
      <w:r>
        <w:rPr>
          <w:rFonts w:hint="eastAsia" w:ascii="仿宋_GB2312" w:eastAsia="仿宋_GB2312"/>
          <w:sz w:val="32"/>
          <w:szCs w:val="32"/>
        </w:rPr>
        <w:t xml:space="preserve">                       2017年6月9日</w:t>
      </w:r>
    </w:p>
    <w:p/>
    <w:p/>
    <w:p/>
    <w:p/>
    <w:p/>
    <w:p/>
    <w:p/>
    <w:p/>
    <w:p/>
    <w:p/>
    <w:p/>
    <w:p/>
    <w:p/>
    <w:p/>
    <w:p/>
    <w:p/>
    <w:p/>
    <w:p/>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平阳垃圾填埋场工程（水头镇）土地和房屋征收补偿安置实施细则（征求意见稿）</w:t>
      </w:r>
    </w:p>
    <w:p>
      <w:pPr>
        <w:spacing w:line="580" w:lineRule="exact"/>
        <w:rPr>
          <w:rFonts w:ascii="方正小标宋简体" w:eastAsia="方正小标宋简体"/>
          <w:kern w:val="44"/>
          <w:sz w:val="18"/>
          <w:szCs w:val="18"/>
        </w:rPr>
      </w:pPr>
    </w:p>
    <w:p>
      <w:pPr>
        <w:spacing w:line="580" w:lineRule="exact"/>
        <w:ind w:firstLine="640" w:firstLineChars="200"/>
        <w:rPr>
          <w:rFonts w:ascii="仿宋_GB2312" w:eastAsia="仿宋_GB2312"/>
          <w:snapToGrid w:val="0"/>
          <w:sz w:val="32"/>
          <w:szCs w:val="32"/>
        </w:rPr>
      </w:pPr>
      <w:r>
        <w:rPr>
          <w:rFonts w:hint="eastAsia" w:ascii="仿宋_GB2312" w:eastAsia="仿宋_GB2312"/>
          <w:sz w:val="32"/>
          <w:szCs w:val="32"/>
        </w:rPr>
        <w:t>为了确保平阳县垃圾填埋场工程</w:t>
      </w:r>
      <w:r>
        <w:rPr>
          <w:rFonts w:hint="eastAsia" w:ascii="仿宋_GB2312" w:hAnsi="宋体" w:eastAsia="仿宋_GB2312" w:cs="宋体"/>
          <w:kern w:val="0"/>
          <w:sz w:val="32"/>
          <w:szCs w:val="32"/>
        </w:rPr>
        <w:t>建设</w:t>
      </w:r>
      <w:r>
        <w:rPr>
          <w:rFonts w:hint="eastAsia" w:ascii="仿宋_GB2312" w:eastAsia="仿宋_GB2312"/>
          <w:sz w:val="32"/>
          <w:szCs w:val="32"/>
        </w:rPr>
        <w:t>顺利实施，维护公共利益，保障被征收人的合法权益，根据</w:t>
      </w:r>
      <w:bookmarkStart w:id="0" w:name="1_1"/>
      <w:bookmarkEnd w:id="0"/>
      <w:r>
        <w:rPr>
          <w:rFonts w:hint="eastAsia" w:ascii="仿宋_GB2312" w:eastAsia="仿宋_GB2312"/>
          <w:sz w:val="32"/>
          <w:szCs w:val="32"/>
        </w:rPr>
        <w:t>土地及房屋征收补偿相关法律法规和《平阳县人民政府关于印发平阳县征收农民集体所有土地管理办法的通知》（平政发〔2014〕208号）、</w:t>
      </w:r>
      <w:r>
        <w:rPr>
          <w:rFonts w:hint="eastAsia" w:ascii="仿宋_GB2312" w:hAnsi="仿宋_GB2312" w:eastAsia="仿宋_GB2312" w:cs="仿宋_GB2312"/>
          <w:sz w:val="32"/>
          <w:szCs w:val="32"/>
        </w:rPr>
        <w:t>《</w:t>
      </w:r>
      <w:r>
        <w:rPr>
          <w:rFonts w:hint="eastAsia" w:ascii="仿宋_GB2312" w:hAnsi="宋体" w:eastAsia="仿宋_GB2312"/>
          <w:sz w:val="32"/>
          <w:szCs w:val="32"/>
        </w:rPr>
        <w:t>平阳县重点工程建设房屋征收城中村改造农房集聚建设补偿暂行办法》（平委办〔2012〕179号）</w:t>
      </w:r>
      <w:r>
        <w:rPr>
          <w:rFonts w:hint="eastAsia" w:ascii="仿宋_GB2312" w:eastAsia="仿宋_GB2312"/>
          <w:sz w:val="32"/>
          <w:szCs w:val="32"/>
        </w:rPr>
        <w:t>文件等规定，结合本工程实际，特制定本实施细则。</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一、本实施细则适用于水头镇普美村平阳县垃圾填埋场</w:t>
      </w:r>
      <w:r>
        <w:rPr>
          <w:rFonts w:hint="eastAsia" w:ascii="仿宋_GB2312" w:hAnsi="宋体" w:eastAsia="仿宋_GB2312" w:cs="宋体"/>
          <w:kern w:val="0"/>
          <w:sz w:val="32"/>
          <w:szCs w:val="32"/>
        </w:rPr>
        <w:t>工程建设</w:t>
      </w:r>
      <w:r>
        <w:rPr>
          <w:rFonts w:hint="eastAsia" w:ascii="仿宋_GB2312" w:eastAsia="仿宋_GB2312"/>
          <w:sz w:val="32"/>
          <w:szCs w:val="32"/>
        </w:rPr>
        <w:t>范围所需的土地房屋征收补偿和</w:t>
      </w:r>
      <w:r>
        <w:rPr>
          <w:rFonts w:hint="eastAsia" w:ascii="仿宋_GB2312" w:hAnsi="宋体" w:eastAsia="仿宋_GB2312"/>
          <w:sz w:val="32"/>
          <w:szCs w:val="32"/>
        </w:rPr>
        <w:t>平阳县垃圾填埋场工程环保安评500米范围内的房屋</w:t>
      </w:r>
      <w:r>
        <w:rPr>
          <w:rFonts w:hint="eastAsia" w:ascii="仿宋_GB2312" w:eastAsia="仿宋_GB2312"/>
          <w:sz w:val="32"/>
          <w:szCs w:val="32"/>
        </w:rPr>
        <w:t>征收补偿。（具体以征收红线为准）</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本实施细则所需征收的土地，包括平阳县垃圾填埋场工程用地范围、安置用地及配套工程所需用地。</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二、受平阳县人民政府委托，水头镇人民政府负责办理水头镇普美村平阳县垃圾填埋场</w:t>
      </w:r>
      <w:r>
        <w:rPr>
          <w:rFonts w:hint="eastAsia" w:ascii="仿宋_GB2312" w:hAnsi="宋体" w:eastAsia="仿宋_GB2312" w:cs="宋体"/>
          <w:kern w:val="0"/>
          <w:sz w:val="32"/>
          <w:szCs w:val="32"/>
        </w:rPr>
        <w:t>工程建设</w:t>
      </w:r>
      <w:r>
        <w:rPr>
          <w:rFonts w:hint="eastAsia" w:ascii="仿宋_GB2312" w:eastAsia="仿宋_GB2312"/>
          <w:sz w:val="32"/>
          <w:szCs w:val="32"/>
        </w:rPr>
        <w:t>范围所需的土地房屋征收补偿和</w:t>
      </w:r>
      <w:r>
        <w:rPr>
          <w:rFonts w:hint="eastAsia" w:ascii="仿宋_GB2312" w:hAnsi="宋体" w:eastAsia="仿宋_GB2312"/>
          <w:sz w:val="32"/>
          <w:szCs w:val="32"/>
        </w:rPr>
        <w:t>平阳县垃圾填埋场工程环保安评500米范围内的房屋</w:t>
      </w:r>
      <w:r>
        <w:rPr>
          <w:rFonts w:hint="eastAsia" w:ascii="仿宋_GB2312" w:eastAsia="仿宋_GB2312"/>
          <w:sz w:val="32"/>
          <w:szCs w:val="32"/>
        </w:rPr>
        <w:t>征收补偿工作。</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本实施细则所称被征收人是指平阳县垃圾填埋场工程建设范围内的土地所有权人、土地使用权人、房屋所有权人和平阳县垃圾填埋场工程</w:t>
      </w:r>
      <w:r>
        <w:rPr>
          <w:rFonts w:hint="eastAsia" w:ascii="仿宋_GB2312" w:hAnsi="宋体" w:eastAsia="仿宋_GB2312"/>
          <w:sz w:val="32"/>
          <w:szCs w:val="32"/>
        </w:rPr>
        <w:t>环保安评500米范围内的房屋所有权人</w:t>
      </w:r>
      <w:r>
        <w:rPr>
          <w:rFonts w:hint="eastAsia" w:ascii="仿宋_GB2312" w:eastAsia="仿宋_GB2312"/>
          <w:sz w:val="32"/>
          <w:szCs w:val="32"/>
        </w:rPr>
        <w:t>。</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三、平阳县垃圾填埋场工程所需用地的征收补偿标准按照平政发〔2014〕208号文件规定执行。</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工程建设所需征收范围内的农作物、经济作物、林木、水域养殖损失给予补偿，具体补偿参考价格详见附表1。</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四、房屋征收补偿安置的一般规定</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被征收房屋产权清楚合法的，按照本实施细则规定给予补偿。被征收房屋的建筑面积、建筑占地面积以《不动产权证》或《房屋所有权证》记载面积为准；土地使用面积以《土地使用权证》或《不动产权证》记载面积为准。</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（二）被征收人可以选择房屋产权（地基）调换，也可以选择货币补偿。</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被征收人不论选择何种补偿方式，应当在规定期限内签订房屋征收补偿安置协议，签订协议后应当在规定的期限内腾空并将移交被征收房屋，由水头镇人民政府统一组织拆除。</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（三）房屋征收安置的程序：外业调查、房屋权属认定、公示、评估、签订征收补偿安置协议、腾空移交、领取补偿费、地基定位和安置房建设。</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（四）被征收的简易房、构筑物按有关规定</w:t>
      </w:r>
      <w:r>
        <w:rPr>
          <w:rFonts w:hint="eastAsia" w:ascii="仿宋_GB2312" w:hAnsi="仿宋" w:eastAsia="仿宋_GB2312" w:cs="仿宋_GB2312"/>
          <w:kern w:val="0"/>
          <w:sz w:val="32"/>
          <w:szCs w:val="32"/>
        </w:rPr>
        <w:t>给予货币补偿，不予置换地基。</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五、被征收房屋的临时安置费和搬迁费</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（一）房屋征收后至新房建成回迁期间，临时过渡住房原则上由被征收人自行解决。</w:t>
      </w:r>
    </w:p>
    <w:p>
      <w:pPr>
        <w:spacing w:line="580" w:lineRule="exact"/>
        <w:ind w:firstLine="627" w:firstLineChars="196"/>
        <w:rPr>
          <w:rFonts w:ascii="仿宋_GB2312" w:eastAsia="仿宋_GB2312"/>
          <w:sz w:val="32"/>
          <w:szCs w:val="32"/>
        </w:rPr>
      </w:pPr>
      <w:r>
        <w:rPr>
          <w:rFonts w:hint="eastAsia" w:ascii="仿宋_GB2312" w:eastAsia="仿宋_GB2312"/>
          <w:sz w:val="32"/>
          <w:szCs w:val="32"/>
        </w:rPr>
        <w:t>（二）住宅房屋</w:t>
      </w:r>
      <w:r>
        <w:rPr>
          <w:rFonts w:hint="eastAsia" w:ascii="仿宋_GB2312" w:hAnsi="仿宋" w:eastAsia="仿宋_GB2312"/>
          <w:spacing w:val="-2"/>
          <w:sz w:val="32"/>
          <w:szCs w:val="32"/>
        </w:rPr>
        <w:t>临时安置补助费标准</w:t>
      </w:r>
      <w:r>
        <w:rPr>
          <w:rFonts w:hint="eastAsia" w:ascii="仿宋_GB2312" w:eastAsia="仿宋_GB2312"/>
          <w:sz w:val="32"/>
          <w:szCs w:val="32"/>
        </w:rPr>
        <w:t>按照</w:t>
      </w:r>
      <w:r>
        <w:rPr>
          <w:rFonts w:hint="eastAsia" w:ascii="仿宋_GB2312" w:hAnsi="仿宋" w:eastAsia="仿宋_GB2312"/>
          <w:spacing w:val="-2"/>
          <w:sz w:val="32"/>
          <w:szCs w:val="32"/>
        </w:rPr>
        <w:t>8元/ m</w:t>
      </w:r>
      <w:r>
        <w:rPr>
          <w:rFonts w:hint="eastAsia" w:ascii="仿宋_GB2312" w:hAnsi="仿宋" w:eastAsia="仿宋_GB2312"/>
          <w:spacing w:val="-2"/>
          <w:sz w:val="32"/>
          <w:szCs w:val="32"/>
          <w:vertAlign w:val="superscript"/>
        </w:rPr>
        <w:t>2</w:t>
      </w:r>
      <w:r>
        <w:rPr>
          <w:rFonts w:hint="eastAsia" w:ascii="仿宋_GB2312" w:hAnsi="仿宋" w:eastAsia="仿宋_GB2312"/>
          <w:spacing w:val="-2"/>
          <w:sz w:val="32"/>
          <w:szCs w:val="32"/>
        </w:rPr>
        <w:t>·月</w:t>
      </w:r>
      <w:r>
        <w:rPr>
          <w:rFonts w:hint="eastAsia" w:ascii="仿宋_GB2312" w:eastAsia="仿宋_GB2312"/>
          <w:sz w:val="32"/>
          <w:szCs w:val="32"/>
        </w:rPr>
        <w:t>规定执行,被征收人选择产权调换的，多层建筑临时过渡期为24个月；被征收人选择货币补偿的，临时过渡期为4个月。</w:t>
      </w:r>
    </w:p>
    <w:p>
      <w:pPr>
        <w:spacing w:line="580" w:lineRule="exact"/>
        <w:ind w:firstLine="627" w:firstLineChars="196"/>
        <w:rPr>
          <w:rFonts w:ascii="仿宋_GB2312" w:eastAsia="仿宋_GB2312"/>
          <w:sz w:val="32"/>
          <w:szCs w:val="32"/>
        </w:rPr>
      </w:pPr>
      <w:r>
        <w:rPr>
          <w:rFonts w:hint="eastAsia" w:ascii="仿宋_GB2312" w:eastAsia="仿宋_GB2312"/>
          <w:sz w:val="32"/>
          <w:szCs w:val="32"/>
        </w:rPr>
        <w:t>征收实施单位未在规定期限内交付地基的，逾期临时安置费双倍支付。</w:t>
      </w:r>
    </w:p>
    <w:p>
      <w:pPr>
        <w:spacing w:line="580" w:lineRule="exact"/>
        <w:ind w:firstLine="627" w:firstLineChars="196"/>
        <w:rPr>
          <w:rFonts w:ascii="仿宋_GB2312" w:eastAsia="仿宋_GB2312"/>
          <w:sz w:val="32"/>
          <w:szCs w:val="32"/>
        </w:rPr>
      </w:pPr>
      <w:r>
        <w:rPr>
          <w:rFonts w:hint="eastAsia" w:ascii="仿宋_GB2312" w:eastAsia="仿宋_GB2312"/>
          <w:sz w:val="32"/>
          <w:szCs w:val="32"/>
        </w:rPr>
        <w:t>临时安置费自被征收房屋腾空移交给征收实施单位之日起计算。</w:t>
      </w:r>
    </w:p>
    <w:p>
      <w:pPr>
        <w:spacing w:line="580" w:lineRule="exact"/>
        <w:ind w:firstLine="640" w:firstLineChars="200"/>
        <w:rPr>
          <w:rFonts w:ascii="仿宋_GB2312" w:hAnsi="仿宋_GB2312" w:eastAsia="仿宋_GB2312"/>
          <w:sz w:val="32"/>
          <w:szCs w:val="32"/>
        </w:rPr>
      </w:pPr>
      <w:r>
        <w:rPr>
          <w:rFonts w:hint="eastAsia" w:ascii="仿宋_GB2312" w:eastAsia="仿宋_GB2312"/>
          <w:sz w:val="32"/>
          <w:szCs w:val="32"/>
        </w:rPr>
        <w:t>（三）</w:t>
      </w:r>
      <w:r>
        <w:rPr>
          <w:rFonts w:hint="eastAsia" w:ascii="仿宋_GB2312" w:hAnsi="宋体" w:eastAsia="仿宋_GB2312"/>
          <w:sz w:val="32"/>
          <w:szCs w:val="32"/>
        </w:rPr>
        <w:t>搬迁费补助按被征收房屋建筑面积5元/平方米计算，不足600元的按600元计算。</w:t>
      </w:r>
      <w:r>
        <w:rPr>
          <w:rFonts w:hint="eastAsia" w:ascii="仿宋_GB2312" w:hAnsi="仿宋_GB2312" w:eastAsia="仿宋_GB2312"/>
          <w:sz w:val="32"/>
          <w:szCs w:val="32"/>
        </w:rPr>
        <w:t>选择货币补偿安置的，</w:t>
      </w:r>
      <w:r>
        <w:rPr>
          <w:rFonts w:hint="eastAsia" w:ascii="仿宋_GB2312" w:eastAsia="仿宋_GB2312"/>
          <w:sz w:val="32"/>
          <w:szCs w:val="32"/>
        </w:rPr>
        <w:t>搬迁费</w:t>
      </w:r>
      <w:r>
        <w:rPr>
          <w:rFonts w:hint="eastAsia" w:ascii="仿宋_GB2312" w:hAnsi="仿宋_GB2312" w:eastAsia="仿宋_GB2312"/>
          <w:sz w:val="32"/>
          <w:szCs w:val="32"/>
        </w:rPr>
        <w:t>按一次计算；选择产权调换的，</w:t>
      </w:r>
      <w:r>
        <w:rPr>
          <w:rFonts w:hint="eastAsia" w:ascii="仿宋_GB2312" w:eastAsia="仿宋_GB2312"/>
          <w:sz w:val="32"/>
          <w:szCs w:val="32"/>
        </w:rPr>
        <w:t>搬迁费</w:t>
      </w:r>
      <w:r>
        <w:rPr>
          <w:rFonts w:hint="eastAsia" w:ascii="仿宋_GB2312" w:hAnsi="仿宋_GB2312" w:eastAsia="仿宋_GB2312"/>
          <w:sz w:val="32"/>
          <w:szCs w:val="32"/>
        </w:rPr>
        <w:t>按二次计算。</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六、未登记房屋的认定和处置</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（一）被征收房屋未取得房屋、土地合法权证但已办理全部或部分房屋建设报批手续的（以报批申请表及相关部门行政许可手续为准），由水头镇人民政府组织住建、国土等部门按程序认定后，予以补偿安置。</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（二）未经登记的下列被征收房屋，由水头镇人民政府组织住建、国土等部门按程序认定并公示后,予以确认是否给予补偿安置（</w:t>
      </w:r>
      <w:r>
        <w:rPr>
          <w:rFonts w:hint="eastAsia" w:ascii="仿宋_GB2312" w:hAnsi="仿宋_GB2312" w:eastAsia="仿宋_GB2312"/>
          <w:kern w:val="0"/>
          <w:sz w:val="32"/>
          <w:szCs w:val="32"/>
        </w:rPr>
        <w:t>以98版航拍图</w:t>
      </w:r>
      <w:r>
        <w:rPr>
          <w:rFonts w:hint="eastAsia" w:ascii="仿宋_GB2312" w:eastAsia="仿宋_GB2312"/>
          <w:sz w:val="32"/>
          <w:szCs w:val="32"/>
        </w:rPr>
        <w:t>和06航拍图的图版为准）。</w:t>
      </w:r>
    </w:p>
    <w:p>
      <w:pPr>
        <w:ind w:firstLine="640" w:firstLineChars="200"/>
        <w:rPr>
          <w:rFonts w:ascii="仿宋_GB2312" w:hAnsi="宋体" w:eastAsia="仿宋_GB2312"/>
          <w:snapToGrid w:val="0"/>
          <w:sz w:val="32"/>
          <w:szCs w:val="32"/>
        </w:rPr>
      </w:pPr>
      <w:r>
        <w:rPr>
          <w:rFonts w:hint="eastAsia" w:ascii="仿宋_GB2312" w:eastAsia="仿宋_GB2312"/>
          <w:sz w:val="32"/>
          <w:szCs w:val="32"/>
        </w:rPr>
        <w:t>1.1986年12月31日以前建造的未登记房屋，经认定后按规定给予补偿安置。</w:t>
      </w:r>
    </w:p>
    <w:p>
      <w:pPr>
        <w:ind w:firstLine="640" w:firstLineChars="200"/>
        <w:rPr>
          <w:rFonts w:ascii="仿宋_GB2312" w:eastAsia="仿宋_GB2312"/>
          <w:sz w:val="32"/>
          <w:szCs w:val="32"/>
        </w:rPr>
      </w:pPr>
      <w:r>
        <w:rPr>
          <w:rFonts w:hint="eastAsia" w:ascii="仿宋_GB2312" w:hAnsi="宋体" w:eastAsia="仿宋_GB2312" w:cs="楷体_GB2312"/>
          <w:bCs/>
          <w:sz w:val="32"/>
          <w:szCs w:val="32"/>
        </w:rPr>
        <w:t>2.</w:t>
      </w:r>
      <w:r>
        <w:rPr>
          <w:rFonts w:hint="eastAsia" w:ascii="仿宋_GB2312" w:eastAsia="仿宋_GB2312"/>
          <w:sz w:val="32"/>
          <w:szCs w:val="32"/>
        </w:rPr>
        <w:t>1987年1月1日至1998年12月31日之间取得镇（乡）以上人民政府或县级以上人民政府土地、规划、建设部门批准文件的农村村民住宅房屋，经认定后按规定给予补偿安置。</w:t>
      </w:r>
    </w:p>
    <w:p>
      <w:pPr>
        <w:spacing w:line="600" w:lineRule="exact"/>
        <w:rPr>
          <w:rFonts w:ascii="仿宋_GB2312" w:hAnsi="楷体_GB2312" w:eastAsia="仿宋_GB2312" w:cs="楷体_GB2312"/>
          <w:bCs/>
          <w:sz w:val="32"/>
          <w:szCs w:val="32"/>
        </w:rPr>
      </w:pPr>
      <w:r>
        <w:rPr>
          <w:rFonts w:hint="eastAsia" w:ascii="仿宋_GB2312" w:hAnsi="宋体" w:eastAsia="仿宋_GB2312" w:cs="楷体_GB2312"/>
          <w:bCs/>
          <w:sz w:val="32"/>
          <w:szCs w:val="32"/>
        </w:rPr>
        <w:t xml:space="preserve">    3.</w:t>
      </w:r>
      <w:r>
        <w:rPr>
          <w:rFonts w:hint="eastAsia" w:ascii="仿宋_GB2312" w:hAnsi="楷体_GB2312" w:eastAsia="仿宋_GB2312" w:cs="楷体_GB2312"/>
          <w:bCs/>
          <w:sz w:val="32"/>
          <w:szCs w:val="32"/>
        </w:rPr>
        <w:t>1987年1月1日至1998年12月31日之间建造的违法建筑（</w:t>
      </w:r>
      <w:r>
        <w:rPr>
          <w:rFonts w:hint="eastAsia" w:ascii="仿宋_GB2312" w:hAnsi="仿宋_GB2312" w:eastAsia="仿宋_GB2312"/>
          <w:kern w:val="0"/>
          <w:sz w:val="32"/>
          <w:szCs w:val="32"/>
        </w:rPr>
        <w:t>以98版航拍图为准</w:t>
      </w:r>
      <w:r>
        <w:rPr>
          <w:rFonts w:hint="eastAsia" w:ascii="仿宋_GB2312" w:hAnsi="楷体_GB2312" w:eastAsia="仿宋_GB2312" w:cs="楷体_GB2312"/>
          <w:bCs/>
          <w:sz w:val="32"/>
          <w:szCs w:val="32"/>
        </w:rPr>
        <w:t>），在规定期限内签订房屋征收补偿协议并腾空搬迁的，可以参照合法房屋予以补偿安置；未在规定期限内签订协议并腾空搬迁的，依法无条件拆除。</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4.1999年1月1日至2006年12月31日之间建成但未办理房屋、土地登记手续的建筑（以</w:t>
      </w:r>
      <w:r>
        <w:rPr>
          <w:rFonts w:hint="eastAsia" w:ascii="仿宋_GB2312" w:hAnsi="楷体_GB2312" w:eastAsia="仿宋_GB2312" w:cs="楷体_GB2312"/>
          <w:bCs/>
          <w:sz w:val="32"/>
          <w:szCs w:val="32"/>
        </w:rPr>
        <w:t>06</w:t>
      </w:r>
      <w:r>
        <w:rPr>
          <w:rFonts w:hint="eastAsia" w:ascii="仿宋_GB2312" w:hAnsi="仿宋_GB2312" w:eastAsia="仿宋_GB2312"/>
          <w:kern w:val="0"/>
          <w:sz w:val="32"/>
          <w:szCs w:val="32"/>
        </w:rPr>
        <w:t>版航拍图</w:t>
      </w:r>
      <w:r>
        <w:rPr>
          <w:rFonts w:hint="eastAsia" w:ascii="仿宋_GB2312" w:eastAsia="仿宋_GB2312"/>
          <w:sz w:val="32"/>
          <w:szCs w:val="32"/>
        </w:rPr>
        <w:t>为准），不予补偿安置；在规定期限内自行拆除的，按照重置成新标准给予清障费；在规定期限内未自行拆除的，依法予以拆除。</w:t>
      </w:r>
    </w:p>
    <w:p>
      <w:pPr>
        <w:pStyle w:val="6"/>
        <w:spacing w:line="600" w:lineRule="exact"/>
        <w:ind w:firstLine="627" w:firstLineChars="196"/>
        <w:rPr>
          <w:rFonts w:ascii="仿宋_GB2312" w:eastAsia="仿宋_GB2312"/>
          <w:sz w:val="32"/>
          <w:szCs w:val="32"/>
        </w:rPr>
      </w:pPr>
      <w:r>
        <w:rPr>
          <w:rFonts w:hint="eastAsia" w:ascii="仿宋_GB2312" w:eastAsia="仿宋_GB2312"/>
          <w:sz w:val="32"/>
          <w:szCs w:val="32"/>
        </w:rPr>
        <w:t>5.2007年1月1日后（以</w:t>
      </w:r>
      <w:r>
        <w:rPr>
          <w:rFonts w:hint="eastAsia" w:ascii="仿宋_GB2312" w:hAnsi="楷体_GB2312" w:eastAsia="仿宋_GB2312" w:cs="楷体_GB2312"/>
          <w:bCs/>
          <w:sz w:val="32"/>
          <w:szCs w:val="32"/>
        </w:rPr>
        <w:t>06</w:t>
      </w:r>
      <w:r>
        <w:rPr>
          <w:rFonts w:hint="eastAsia" w:ascii="仿宋_GB2312" w:hAnsi="仿宋_GB2312" w:eastAsia="仿宋_GB2312"/>
          <w:kern w:val="0"/>
          <w:sz w:val="32"/>
          <w:szCs w:val="32"/>
        </w:rPr>
        <w:t>版航拍图</w:t>
      </w:r>
      <w:r>
        <w:rPr>
          <w:rFonts w:hint="eastAsia" w:ascii="仿宋_GB2312" w:eastAsia="仿宋_GB2312"/>
          <w:sz w:val="32"/>
          <w:szCs w:val="32"/>
        </w:rPr>
        <w:t xml:space="preserve">为准）建成的违法建筑一律无偿拆除。 </w:t>
      </w:r>
    </w:p>
    <w:p>
      <w:pPr>
        <w:pStyle w:val="6"/>
        <w:spacing w:line="600" w:lineRule="exact"/>
        <w:ind w:firstLine="627" w:firstLineChars="196"/>
        <w:rPr>
          <w:rFonts w:ascii="仿宋_GB2312" w:hAnsi="仿宋_GB2312" w:eastAsia="仿宋_GB2312"/>
          <w:kern w:val="0"/>
          <w:sz w:val="32"/>
          <w:szCs w:val="32"/>
        </w:rPr>
      </w:pPr>
      <w:r>
        <w:rPr>
          <w:rFonts w:hint="eastAsia" w:ascii="仿宋_GB2312" w:hAnsi="宋体" w:eastAsia="仿宋_GB2312"/>
          <w:sz w:val="32"/>
          <w:szCs w:val="32"/>
        </w:rPr>
        <w:t>（三）</w:t>
      </w:r>
      <w:r>
        <w:rPr>
          <w:rFonts w:hint="eastAsia" w:ascii="仿宋_GB2312" w:eastAsia="仿宋_GB2312"/>
          <w:sz w:val="32"/>
          <w:szCs w:val="32"/>
        </w:rPr>
        <w:t>1999年1月1日至2006年12月31日之间建造，但土地、规划、建设审批手续不齐全的农村村民住宅房屋，</w:t>
      </w:r>
      <w:r>
        <w:rPr>
          <w:rFonts w:hint="eastAsia" w:ascii="仿宋_GB2312" w:hAnsi="楷体_GB2312" w:eastAsia="仿宋_GB2312" w:cs="楷体_GB2312"/>
          <w:bCs/>
          <w:sz w:val="32"/>
          <w:szCs w:val="32"/>
        </w:rPr>
        <w:t>在规定期限内签订房屋征收补偿协议并腾空拆除的，可以参照合法房屋予以补偿安置。未在规定期限内签订协议并腾空拆除的，依法无条件拆除。</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七、被征收房屋的货币补偿</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（一）被征收人选择货币补偿的，被征收房屋的货币补偿金额由具有法定资格的房地产评估机构按市场评估价评估确定。</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（二）被征收人签订货币补偿协议并腾空移交被征收房屋之日起30日内，征收实施单位必须一次性向被征收人支付补偿款。</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（三）被征收房屋货币补偿后，一律不予产权调换。</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八、被征收房屋的产权（地基）调换</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1.产权（地基）安置原则上由水头镇人民政府根据规划原则上安排国有划拨性质土地，安置地基的规格由水头镇人民政府依据规划报相关部门批准后执行。</w:t>
      </w:r>
    </w:p>
    <w:p>
      <w:pPr>
        <w:spacing w:line="580" w:lineRule="exact"/>
        <w:ind w:left="160" w:leftChars="76" w:firstLine="480" w:firstLineChars="150"/>
        <w:rPr>
          <w:rFonts w:eastAsia="仿宋_GB2312"/>
          <w:sz w:val="32"/>
          <w:szCs w:val="32"/>
        </w:rPr>
      </w:pPr>
      <w:r>
        <w:rPr>
          <w:rFonts w:hint="eastAsia" w:ascii="仿宋_GB2312" w:eastAsia="仿宋_GB2312"/>
          <w:sz w:val="32"/>
          <w:szCs w:val="32"/>
        </w:rPr>
        <w:t>2.产权（地基）根据安置地总平方案要求进行建设。被征收人应当根据水头镇</w:t>
      </w:r>
      <w:r>
        <w:rPr>
          <w:rFonts w:hint="eastAsia" w:ascii="仿宋_GB2312" w:hAnsi="宋体" w:eastAsia="仿宋_GB2312" w:cs="宋体"/>
          <w:sz w:val="32"/>
          <w:szCs w:val="32"/>
        </w:rPr>
        <w:t>人民政府的规划建设安置房，新建房屋层数不高于4层，建筑高度以规划审核为准</w:t>
      </w:r>
      <w:r>
        <w:rPr>
          <w:rFonts w:hint="eastAsia" w:ascii="仿宋_GB2312" w:eastAsia="仿宋_GB2312"/>
          <w:sz w:val="32"/>
          <w:szCs w:val="32"/>
        </w:rPr>
        <w:t>。</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3.被征收房屋</w:t>
      </w:r>
      <w:bookmarkStart w:id="1" w:name="OLE_LINK1"/>
      <w:bookmarkStart w:id="2" w:name="OLE_LINK2"/>
      <w:r>
        <w:rPr>
          <w:rFonts w:hint="eastAsia" w:ascii="仿宋_GB2312" w:eastAsia="仿宋_GB2312"/>
          <w:sz w:val="32"/>
          <w:szCs w:val="32"/>
        </w:rPr>
        <w:t>建筑</w:t>
      </w:r>
      <w:bookmarkEnd w:id="1"/>
      <w:bookmarkEnd w:id="2"/>
      <w:r>
        <w:rPr>
          <w:rFonts w:hint="eastAsia" w:ascii="仿宋_GB2312" w:eastAsia="仿宋_GB2312"/>
          <w:sz w:val="32"/>
          <w:szCs w:val="32"/>
        </w:rPr>
        <w:t>占地面积在25平方米（含）以上75平方米以下的安置1间地基；75平方米（含）以上的安置2间地基；如要实行货币安置的，以评估为准，不予安置地基。建筑占地面积不足25平方米的，实行货币补偿，不予安置地基。</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4.被征收房屋建筑占地面积多于（或少于）应置换地基面积的，应按标准给予找补差价。具体标准由水头镇人民政府报县征收办审核后确定。</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九、被征收房屋的价值评估</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（一）被征收房屋的补偿价格由具有法定资格的房屋评估机构根据其结构类别等级和成新率予以评定。评估时要结合室内装潢、室内水电配套设施、附属用房、构筑物等情况，一并确定补偿总金额。</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评估机构要以户为单位出具评估报告,评估结果要在房屋征收范围内进行公示。被征收人对评估确定的被征收房屋价值有异议的，可以向评估机构申请复核评估。</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（二）被征收人应在规定时间内向评估机构提供《房屋所有权证》、《土地使用权证》或《不动产权证》等所需资料，协助评估人员做好被征收房屋的现场查勘。</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十、房屋征收补偿安置协议的签订</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被征收人凭《房屋所有权证》、《土地使用权证》或《不动产权证》及其他相关凭证与征收实施单位签订征收补偿安置协议，征收补偿安置协议由双方当事人签字盖章后生效。签订征收补偿安置协议后，被征收人应将原《房屋所有权证》、《土地使用权证》或《不动产权证》原件交给征收实施单位，由征收实施单位向不动产权证登记机构统一办理原《房屋所有权证》、《土地使用权证》或《不动产权证》注销手续。</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（二）征收设有抵押权或租赁关系的房屋，由被征收人在协议签订前自行解除抵押权或租赁关系。</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十一、安置房建设</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安置房必须按有关规定依法报批后进行建设。被征收人负责安置房建设报批及提供审批所需材料，水头镇人民政府协助被征收人办理审批事项。安置房项目要严格按照审批要求进行施工，违反审批要求建设的，按有关法律、法规规定处理。</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水、电、讯、视等“五通一平”配套设施由征收实施单位安装至安置房户外，供被征收人自行报装。“五通一平”配套设施建设费用由县财政承担（设立安置房“五通一平”专户），水头镇人民政府负责实施。其他一切费用由被征收人负担。</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（三）地基定位由水头镇人民政府组织普美村委会按照公平、公正、公开的原则统一组织落实。</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（四）按时签订征收补偿安置协议、按时腾空移交</w:t>
      </w:r>
      <w:r>
        <w:rPr>
          <w:rFonts w:hint="eastAsia" w:ascii="仿宋_GB2312" w:hAnsi="仿宋" w:eastAsia="仿宋_GB2312"/>
          <w:sz w:val="32"/>
          <w:szCs w:val="32"/>
        </w:rPr>
        <w:t>住宅房屋</w:t>
      </w:r>
      <w:r>
        <w:rPr>
          <w:rFonts w:hint="eastAsia" w:ascii="仿宋_GB2312" w:eastAsia="仿宋_GB2312"/>
          <w:sz w:val="32"/>
          <w:szCs w:val="32"/>
        </w:rPr>
        <w:t>的被征收人作为第一顺序抽签定位；无故不按时签订征收协议、不按时腾空移交</w:t>
      </w:r>
      <w:r>
        <w:rPr>
          <w:rFonts w:hint="eastAsia" w:ascii="仿宋_GB2312" w:hAnsi="仿宋" w:eastAsia="仿宋_GB2312"/>
          <w:sz w:val="32"/>
          <w:szCs w:val="32"/>
        </w:rPr>
        <w:t>住宅房屋</w:t>
      </w:r>
      <w:r>
        <w:rPr>
          <w:rFonts w:hint="eastAsia" w:ascii="仿宋_GB2312" w:eastAsia="仿宋_GB2312"/>
          <w:sz w:val="32"/>
          <w:szCs w:val="32"/>
        </w:rPr>
        <w:t>的，抽签定位时按第二顺序处理或顺延，具体由水头镇人民政府另行规定。</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十二、征收学校、村（居）委会办公楼、宗教活动场所、军用设施及其他特殊构筑物按照有关规定执行。</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十三、征收补偿的奖励规定</w:t>
      </w:r>
    </w:p>
    <w:p>
      <w:pPr>
        <w:spacing w:line="580" w:lineRule="exact"/>
        <w:ind w:firstLine="640" w:firstLineChars="200"/>
        <w:rPr>
          <w:rFonts w:ascii="仿宋_GB2312" w:eastAsia="仿宋_GB2312"/>
          <w:sz w:val="32"/>
          <w:szCs w:val="32"/>
        </w:rPr>
      </w:pPr>
      <w:r>
        <w:rPr>
          <w:rFonts w:hint="eastAsia" w:ascii="仿宋_GB2312" w:hAnsi="仿宋" w:eastAsia="仿宋_GB2312"/>
          <w:sz w:val="32"/>
          <w:szCs w:val="32"/>
        </w:rPr>
        <w:t>被征收人在规定时间内签订协议并</w:t>
      </w:r>
      <w:r>
        <w:rPr>
          <w:rFonts w:hint="eastAsia" w:ascii="仿宋_GB2312" w:eastAsia="仿宋_GB2312"/>
          <w:sz w:val="32"/>
          <w:szCs w:val="32"/>
        </w:rPr>
        <w:t>腾空移交</w:t>
      </w:r>
      <w:r>
        <w:rPr>
          <w:rFonts w:hint="eastAsia" w:ascii="仿宋_GB2312" w:hAnsi="仿宋" w:eastAsia="仿宋_GB2312"/>
          <w:sz w:val="32"/>
          <w:szCs w:val="32"/>
        </w:rPr>
        <w:t>住宅房屋的，每自然间奖励10000元，其中</w:t>
      </w:r>
      <w:r>
        <w:rPr>
          <w:rFonts w:hint="eastAsia" w:ascii="仿宋_GB2312" w:hAnsi="宋体" w:eastAsia="仿宋_GB2312"/>
          <w:sz w:val="32"/>
          <w:szCs w:val="32"/>
        </w:rPr>
        <w:t>按时签订房屋搬迁补偿安置协议的给予每间5000元的奖励，按时腾空被征收房屋及附属物的给予每间5000元的奖励</w:t>
      </w:r>
      <w:r>
        <w:rPr>
          <w:rFonts w:hint="eastAsia" w:ascii="仿宋_GB2312" w:hAnsi="仿宋" w:eastAsia="仿宋_GB2312"/>
          <w:sz w:val="32"/>
          <w:szCs w:val="32"/>
        </w:rPr>
        <w:t>。</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十四、征收管理的工作要求</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征收工作人员在政策处理工作过程中要廉洁清政，坚持公开公平公正原则，对政策处理结果要公示，并接受监督。同时对政策处理过程中所形成的各种资料、调查登记材料都要及时进行整理，妥善保管，按规定移交归档。</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十五、</w:t>
      </w:r>
      <w:r>
        <w:rPr>
          <w:rFonts w:hint="eastAsia" w:ascii="仿宋_GB2312" w:hAnsi="仿宋" w:eastAsia="仿宋_GB2312"/>
          <w:sz w:val="32"/>
          <w:szCs w:val="32"/>
        </w:rPr>
        <w:t>工程建设涉及坟墓迁移的，原则上由水头镇人民政府组织就近集中统一迁移生态公墓，自行安置的由水头镇人民政府按3000元/穴标准给以补偿。</w:t>
      </w:r>
    </w:p>
    <w:p>
      <w:pPr>
        <w:spacing w:line="580" w:lineRule="exact"/>
        <w:ind w:firstLine="640" w:firstLineChars="200"/>
        <w:rPr>
          <w:rFonts w:ascii="仿宋_GB2312" w:hAnsi="仿宋" w:eastAsia="仿宋_GB2312"/>
          <w:sz w:val="32"/>
          <w:szCs w:val="32"/>
        </w:rPr>
      </w:pPr>
      <w:r>
        <w:rPr>
          <w:rFonts w:hint="eastAsia" w:ascii="仿宋_GB2312" w:eastAsia="仿宋_GB2312"/>
          <w:sz w:val="32"/>
          <w:szCs w:val="32"/>
        </w:rPr>
        <w:t>十六、</w:t>
      </w:r>
      <w:r>
        <w:rPr>
          <w:rFonts w:hint="eastAsia" w:ascii="仿宋_GB2312" w:hAnsi="仿宋" w:eastAsia="仿宋_GB2312"/>
          <w:sz w:val="32"/>
          <w:szCs w:val="32"/>
        </w:rPr>
        <w:t>其他</w:t>
      </w:r>
    </w:p>
    <w:p>
      <w:pPr>
        <w:spacing w:line="580" w:lineRule="exact"/>
        <w:rPr>
          <w:rFonts w:ascii="仿宋_GB2312" w:eastAsia="仿宋_GB2312"/>
          <w:sz w:val="32"/>
          <w:szCs w:val="32"/>
        </w:rPr>
      </w:pPr>
      <w:r>
        <w:rPr>
          <w:rFonts w:hint="eastAsia" w:ascii="仿宋_GB2312" w:hAnsi="仿宋" w:eastAsia="仿宋_GB2312"/>
          <w:spacing w:val="-2"/>
          <w:sz w:val="32"/>
          <w:szCs w:val="32"/>
        </w:rPr>
        <w:t xml:space="preserve">    （一）</w:t>
      </w:r>
      <w:r>
        <w:rPr>
          <w:rFonts w:hint="eastAsia" w:ascii="仿宋_GB2312" w:eastAsia="仿宋_GB2312"/>
          <w:spacing w:val="-8"/>
          <w:sz w:val="32"/>
          <w:szCs w:val="32"/>
        </w:rPr>
        <w:t>农作物、经济作物、林木、水域养殖损失补偿参考</w:t>
      </w:r>
      <w:r>
        <w:rPr>
          <w:rFonts w:hint="eastAsia" w:ascii="仿宋_GB2312" w:eastAsia="仿宋_GB2312"/>
          <w:sz w:val="32"/>
          <w:szCs w:val="32"/>
        </w:rPr>
        <w:t>附表1；被征收房屋重置价、成新折旧标准参考附表2；地上附着物（构筑物）补偿参考附表3；被征收房屋装饰装修补偿参考附表4。</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（二）征收范围内的特产经济林、名贵树种视具体情况经评估后给予货币补偿。</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（三）无房户和住房困难户由水头镇人民政府根据</w:t>
      </w:r>
      <w:r>
        <w:rPr>
          <w:rFonts w:hint="eastAsia" w:ascii="仿宋_GB2312" w:eastAsia="仿宋_GB2312"/>
          <w:sz w:val="32"/>
          <w:szCs w:val="32"/>
        </w:rPr>
        <w:t>《平阳县“三改一拆”范围内违法建筑认定和处置办法》（平政办</w:t>
      </w:r>
      <w:r>
        <w:rPr>
          <w:rFonts w:hint="eastAsia" w:ascii="仿宋_GB2312" w:hAnsi="仿宋_GB2312" w:eastAsia="仿宋_GB2312"/>
          <w:kern w:val="0"/>
          <w:sz w:val="32"/>
          <w:szCs w:val="32"/>
        </w:rPr>
        <w:t>〔2013〕</w:t>
      </w:r>
      <w:r>
        <w:rPr>
          <w:rFonts w:hint="eastAsia" w:ascii="仿宋_GB2312" w:eastAsia="仿宋_GB2312"/>
          <w:sz w:val="32"/>
          <w:szCs w:val="32"/>
        </w:rPr>
        <w:t>126号）文件规定，</w:t>
      </w:r>
      <w:r>
        <w:rPr>
          <w:rFonts w:hint="eastAsia" w:ascii="仿宋_GB2312" w:hAnsi="仿宋" w:eastAsia="仿宋_GB2312"/>
          <w:sz w:val="32"/>
          <w:szCs w:val="32"/>
        </w:rPr>
        <w:t>结合实际情况给予妥善解决。</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十七、本实施细则由水头镇人民政府负责解释。</w:t>
      </w:r>
    </w:p>
    <w:p>
      <w:pPr>
        <w:spacing w:line="580" w:lineRule="exact"/>
        <w:ind w:firstLine="640" w:firstLineChars="200"/>
        <w:rPr>
          <w:rFonts w:ascii="仿宋_GB2312" w:hAnsi="仿宋" w:eastAsia="仿宋_GB2312"/>
          <w:sz w:val="32"/>
          <w:szCs w:val="32"/>
        </w:rPr>
      </w:pPr>
      <w:r>
        <w:rPr>
          <w:rFonts w:hint="eastAsia" w:ascii="仿宋_GB2312" w:eastAsia="仿宋_GB2312"/>
          <w:sz w:val="32"/>
          <w:szCs w:val="32"/>
        </w:rPr>
        <w:t>十八、</w:t>
      </w:r>
      <w:r>
        <w:rPr>
          <w:rFonts w:ascii="仿宋_GB2312" w:hAnsi="仿宋" w:eastAsia="仿宋_GB2312"/>
          <w:sz w:val="32"/>
          <w:szCs w:val="32"/>
        </w:rPr>
        <w:t>本</w:t>
      </w:r>
      <w:r>
        <w:rPr>
          <w:rFonts w:hint="eastAsia" w:ascii="仿宋_GB2312" w:hAnsi="仿宋" w:eastAsia="仿宋_GB2312"/>
          <w:sz w:val="32"/>
          <w:szCs w:val="32"/>
        </w:rPr>
        <w:t>实施细则</w:t>
      </w:r>
      <w:r>
        <w:rPr>
          <w:rFonts w:ascii="仿宋_GB2312" w:hAnsi="仿宋" w:eastAsia="仿宋_GB2312"/>
          <w:sz w:val="32"/>
          <w:szCs w:val="32"/>
        </w:rPr>
        <w:t>自正式公布之日实施</w:t>
      </w:r>
      <w:r>
        <w:rPr>
          <w:rFonts w:hint="eastAsia" w:ascii="仿宋_GB2312" w:hAnsi="仿宋" w:eastAsia="仿宋_GB2312"/>
          <w:sz w:val="32"/>
          <w:szCs w:val="32"/>
        </w:rPr>
        <w:t>。十九、已经有批准权人民政府批准征收的土地，按原征地政策执行。</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十九、水头镇普美村</w:t>
      </w:r>
      <w:r>
        <w:rPr>
          <w:rFonts w:hint="eastAsia" w:ascii="仿宋_GB2312" w:hAnsi="宋体" w:eastAsia="仿宋_GB2312"/>
          <w:sz w:val="32"/>
          <w:szCs w:val="32"/>
        </w:rPr>
        <w:t>环保安评500米范围外的房屋征收补偿参照本实施细则执行。</w:t>
      </w:r>
    </w:p>
    <w:p>
      <w:pPr>
        <w:spacing w:line="580" w:lineRule="exact"/>
        <w:ind w:left="1918" w:leftChars="304" w:hanging="1280" w:hangingChars="400"/>
        <w:rPr>
          <w:rFonts w:ascii="仿宋_GB2312" w:eastAsia="仿宋_GB2312"/>
          <w:sz w:val="32"/>
          <w:szCs w:val="32"/>
        </w:rPr>
      </w:pPr>
      <w:r>
        <w:rPr>
          <w:rFonts w:hint="eastAsia" w:ascii="仿宋_GB2312" w:eastAsia="仿宋_GB2312"/>
          <w:sz w:val="32"/>
          <w:szCs w:val="32"/>
        </w:rPr>
        <w:t>附件：1.</w:t>
      </w:r>
      <w:r>
        <w:rPr>
          <w:rFonts w:hint="eastAsia" w:ascii="仿宋_GB2312" w:eastAsia="仿宋_GB2312"/>
          <w:spacing w:val="-8"/>
          <w:sz w:val="32"/>
          <w:szCs w:val="32"/>
        </w:rPr>
        <w:t>农作物、经济作物、林木、水域养殖损失补偿参考价</w:t>
      </w:r>
    </w:p>
    <w:p>
      <w:pPr>
        <w:spacing w:line="580" w:lineRule="exact"/>
        <w:ind w:firstLine="1600" w:firstLineChars="500"/>
        <w:rPr>
          <w:rFonts w:ascii="仿宋_GB2312" w:eastAsia="仿宋_GB2312"/>
          <w:sz w:val="32"/>
          <w:szCs w:val="32"/>
        </w:rPr>
      </w:pPr>
      <w:r>
        <w:rPr>
          <w:rFonts w:hint="eastAsia" w:ascii="仿宋_GB2312" w:eastAsia="仿宋_GB2312"/>
          <w:sz w:val="32"/>
          <w:szCs w:val="32"/>
        </w:rPr>
        <w:t>2.被征收房屋重置价、成新折旧标准</w:t>
      </w:r>
    </w:p>
    <w:p>
      <w:pPr>
        <w:spacing w:line="580" w:lineRule="exact"/>
        <w:ind w:firstLine="1600" w:firstLineChars="500"/>
        <w:rPr>
          <w:rFonts w:ascii="仿宋_GB2312" w:eastAsia="仿宋_GB2312"/>
          <w:sz w:val="32"/>
          <w:szCs w:val="32"/>
        </w:rPr>
      </w:pPr>
      <w:r>
        <w:rPr>
          <w:rFonts w:hint="eastAsia" w:ascii="仿宋_GB2312" w:eastAsia="仿宋_GB2312"/>
          <w:sz w:val="32"/>
          <w:szCs w:val="32"/>
        </w:rPr>
        <w:t>3.地上附着物（构筑物）补偿参考价</w:t>
      </w:r>
    </w:p>
    <w:p>
      <w:pPr>
        <w:spacing w:line="580" w:lineRule="exact"/>
        <w:ind w:firstLine="1600" w:firstLineChars="500"/>
        <w:rPr>
          <w:rFonts w:ascii="仿宋_GB2312" w:eastAsia="仿宋_GB2312"/>
          <w:sz w:val="28"/>
          <w:szCs w:val="28"/>
        </w:rPr>
      </w:pPr>
      <w:r>
        <w:rPr>
          <w:rFonts w:hint="eastAsia" w:ascii="仿宋_GB2312" w:eastAsia="仿宋_GB2312"/>
          <w:sz w:val="32"/>
          <w:szCs w:val="32"/>
        </w:rPr>
        <w:t>4.被征收房屋装饰装修补偿参考价</w:t>
      </w:r>
    </w:p>
    <w:p>
      <w:pPr>
        <w:widowControl/>
        <w:spacing w:line="600" w:lineRule="exact"/>
        <w:jc w:val="left"/>
        <w:rPr>
          <w:rFonts w:ascii="黑体" w:hAnsi="黑体" w:eastAsia="黑体" w:cs="宋体"/>
          <w:kern w:val="0"/>
          <w:sz w:val="32"/>
          <w:szCs w:val="32"/>
        </w:rPr>
      </w:pPr>
      <w:r>
        <w:rPr>
          <w:rFonts w:hint="eastAsia" w:ascii="黑体" w:hAnsi="黑体" w:eastAsia="黑体" w:cs="宋体"/>
          <w:kern w:val="0"/>
          <w:sz w:val="32"/>
          <w:szCs w:val="32"/>
        </w:rPr>
        <w:br w:type="page"/>
      </w:r>
      <w:r>
        <w:rPr>
          <w:rFonts w:hint="eastAsia" w:ascii="黑体" w:hAnsi="黑体" w:eastAsia="黑体" w:cs="宋体"/>
          <w:kern w:val="0"/>
          <w:sz w:val="32"/>
          <w:szCs w:val="32"/>
        </w:rPr>
        <w:t>附</w:t>
      </w:r>
      <w:r>
        <w:rPr>
          <w:rFonts w:hint="eastAsia" w:ascii="黑体" w:hAnsi="黑体" w:eastAsia="黑体"/>
          <w:sz w:val="32"/>
          <w:szCs w:val="32"/>
        </w:rPr>
        <w:t>件</w:t>
      </w:r>
      <w:r>
        <w:rPr>
          <w:rFonts w:ascii="黑体" w:hAnsi="黑体" w:eastAsia="黑体" w:cs="宋体"/>
          <w:kern w:val="0"/>
          <w:sz w:val="32"/>
          <w:szCs w:val="32"/>
        </w:rPr>
        <w:t>1</w:t>
      </w:r>
    </w:p>
    <w:p>
      <w:pPr>
        <w:widowControl/>
        <w:adjustRightInd w:val="0"/>
        <w:snapToGrid w:val="0"/>
        <w:spacing w:line="200" w:lineRule="exact"/>
        <w:jc w:val="left"/>
        <w:rPr>
          <w:rFonts w:ascii="黑体" w:hAnsi="宋体" w:eastAsia="黑体" w:cs="宋体"/>
          <w:kern w:val="0"/>
          <w:sz w:val="24"/>
        </w:rPr>
      </w:pPr>
    </w:p>
    <w:p>
      <w:pPr>
        <w:widowControl/>
        <w:adjustRightInd w:val="0"/>
        <w:snapToGrid w:val="0"/>
        <w:spacing w:line="600" w:lineRule="exact"/>
        <w:jc w:val="center"/>
        <w:rPr>
          <w:rFonts w:ascii="宋体" w:cs="宋体"/>
          <w:kern w:val="0"/>
          <w:sz w:val="24"/>
        </w:rPr>
      </w:pPr>
      <w:r>
        <w:rPr>
          <w:rFonts w:hint="eastAsia" w:ascii="黑体" w:hAnsi="宋体" w:eastAsia="黑体" w:cs="宋体"/>
          <w:kern w:val="0"/>
          <w:sz w:val="36"/>
          <w:szCs w:val="36"/>
        </w:rPr>
        <w:t>农作物、经济作物、林木、水域养殖损失补偿参考价</w:t>
      </w:r>
    </w:p>
    <w:p>
      <w:pPr>
        <w:widowControl/>
        <w:adjustRightInd w:val="0"/>
        <w:snapToGrid w:val="0"/>
        <w:spacing w:line="200" w:lineRule="exact"/>
        <w:jc w:val="left"/>
        <w:rPr>
          <w:rFonts w:ascii="宋体" w:cs="宋体"/>
          <w:kern w:val="0"/>
          <w:sz w:val="24"/>
        </w:rPr>
      </w:pPr>
    </w:p>
    <w:tbl>
      <w:tblPr>
        <w:tblStyle w:val="4"/>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6"/>
        <w:gridCol w:w="2436"/>
        <w:gridCol w:w="2313"/>
        <w:gridCol w:w="2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6" w:type="dxa"/>
            <w:vAlign w:val="center"/>
          </w:tcPr>
          <w:p>
            <w:pPr>
              <w:widowControl/>
              <w:spacing w:line="360" w:lineRule="exact"/>
              <w:jc w:val="center"/>
              <w:rPr>
                <w:rFonts w:ascii="宋体" w:cs="宋体"/>
                <w:kern w:val="0"/>
                <w:sz w:val="24"/>
              </w:rPr>
            </w:pPr>
            <w:r>
              <w:rPr>
                <w:rFonts w:hint="eastAsia" w:ascii="宋体" w:hAnsi="宋体" w:cs="宋体"/>
                <w:b/>
                <w:kern w:val="0"/>
                <w:sz w:val="24"/>
              </w:rPr>
              <w:t>项目</w:t>
            </w:r>
          </w:p>
        </w:tc>
        <w:tc>
          <w:tcPr>
            <w:tcW w:w="2436" w:type="dxa"/>
            <w:vAlign w:val="center"/>
          </w:tcPr>
          <w:p>
            <w:pPr>
              <w:widowControl/>
              <w:spacing w:line="360" w:lineRule="exact"/>
              <w:jc w:val="center"/>
              <w:rPr>
                <w:rFonts w:ascii="宋体" w:cs="宋体"/>
                <w:kern w:val="0"/>
                <w:sz w:val="24"/>
              </w:rPr>
            </w:pPr>
            <w:r>
              <w:rPr>
                <w:rFonts w:hint="eastAsia" w:ascii="宋体" w:hAnsi="宋体" w:cs="宋体"/>
                <w:b/>
                <w:kern w:val="0"/>
                <w:sz w:val="24"/>
              </w:rPr>
              <w:t>规格标准</w:t>
            </w:r>
          </w:p>
        </w:tc>
        <w:tc>
          <w:tcPr>
            <w:tcW w:w="2313" w:type="dxa"/>
            <w:vAlign w:val="center"/>
          </w:tcPr>
          <w:p>
            <w:pPr>
              <w:widowControl/>
              <w:spacing w:line="360" w:lineRule="exact"/>
              <w:jc w:val="center"/>
              <w:rPr>
                <w:rFonts w:ascii="宋体" w:cs="宋体"/>
                <w:kern w:val="0"/>
                <w:sz w:val="24"/>
              </w:rPr>
            </w:pPr>
            <w:r>
              <w:rPr>
                <w:rFonts w:hint="eastAsia" w:ascii="宋体" w:hAnsi="宋体" w:cs="宋体"/>
                <w:b/>
                <w:kern w:val="0"/>
                <w:sz w:val="24"/>
              </w:rPr>
              <w:t>单价</w:t>
            </w:r>
          </w:p>
        </w:tc>
        <w:tc>
          <w:tcPr>
            <w:tcW w:w="2563" w:type="dxa"/>
            <w:vAlign w:val="center"/>
          </w:tcPr>
          <w:p>
            <w:pPr>
              <w:widowControl/>
              <w:spacing w:line="360" w:lineRule="exact"/>
              <w:jc w:val="center"/>
              <w:rPr>
                <w:rFonts w:ascii="宋体" w:cs="宋体"/>
                <w:kern w:val="0"/>
                <w:sz w:val="24"/>
              </w:rPr>
            </w:pPr>
            <w:r>
              <w:rPr>
                <w:rFonts w:hint="eastAsia" w:ascii="宋体" w:hAnsi="宋体" w:cs="宋体"/>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6"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蔬菜</w:t>
            </w:r>
          </w:p>
        </w:tc>
        <w:tc>
          <w:tcPr>
            <w:tcW w:w="2436"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按蔬菜种类划分</w:t>
            </w:r>
          </w:p>
        </w:tc>
        <w:tc>
          <w:tcPr>
            <w:tcW w:w="2313"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1800元/亩</w:t>
            </w:r>
          </w:p>
        </w:tc>
        <w:tc>
          <w:tcPr>
            <w:tcW w:w="2563" w:type="dxa"/>
            <w:vMerge w:val="restart"/>
            <w:vAlign w:val="center"/>
          </w:tcPr>
          <w:p>
            <w:pPr>
              <w:widowControl/>
              <w:spacing w:line="360" w:lineRule="exact"/>
              <w:jc w:val="center"/>
              <w:rPr>
                <w:rFonts w:ascii="宋体" w:hAnsi="宋体" w:cs="宋体"/>
                <w:kern w:val="0"/>
                <w:sz w:val="24"/>
              </w:rPr>
            </w:pPr>
            <w:r>
              <w:rPr>
                <w:rFonts w:hint="eastAsia" w:ascii="宋体" w:hAnsi="宋体" w:cs="宋体"/>
                <w:kern w:val="0"/>
                <w:sz w:val="24"/>
              </w:rPr>
              <w:t>以实种面积为准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6"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豆类</w:t>
            </w:r>
          </w:p>
        </w:tc>
        <w:tc>
          <w:tcPr>
            <w:tcW w:w="2436"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按豆种类划分</w:t>
            </w:r>
          </w:p>
        </w:tc>
        <w:tc>
          <w:tcPr>
            <w:tcW w:w="2313"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1000-1500元/亩</w:t>
            </w:r>
          </w:p>
        </w:tc>
        <w:tc>
          <w:tcPr>
            <w:tcW w:w="2563" w:type="dxa"/>
            <w:vMerge w:val="continue"/>
            <w:vAlign w:val="center"/>
          </w:tcPr>
          <w:p>
            <w:pPr>
              <w:spacing w:line="36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jc w:val="center"/>
        </w:trPr>
        <w:tc>
          <w:tcPr>
            <w:tcW w:w="1576"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水稻</w:t>
            </w:r>
          </w:p>
        </w:tc>
        <w:tc>
          <w:tcPr>
            <w:tcW w:w="2436" w:type="dxa"/>
            <w:vAlign w:val="center"/>
          </w:tcPr>
          <w:p>
            <w:pPr>
              <w:widowControl/>
              <w:spacing w:line="360" w:lineRule="exact"/>
              <w:rPr>
                <w:rFonts w:ascii="宋体" w:hAnsi="宋体" w:cs="宋体"/>
                <w:kern w:val="0"/>
                <w:sz w:val="24"/>
              </w:rPr>
            </w:pPr>
          </w:p>
        </w:tc>
        <w:tc>
          <w:tcPr>
            <w:tcW w:w="2313"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1200元/亩</w:t>
            </w:r>
          </w:p>
        </w:tc>
        <w:tc>
          <w:tcPr>
            <w:tcW w:w="2563" w:type="dxa"/>
            <w:vMerge w:val="continue"/>
            <w:vAlign w:val="center"/>
          </w:tcPr>
          <w:p>
            <w:pPr>
              <w:widowControl/>
              <w:spacing w:line="36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6" w:type="dxa"/>
            <w:vMerge w:val="restart"/>
            <w:vAlign w:val="center"/>
          </w:tcPr>
          <w:p>
            <w:pPr>
              <w:widowControl/>
              <w:spacing w:line="360" w:lineRule="exact"/>
              <w:jc w:val="center"/>
              <w:rPr>
                <w:rFonts w:ascii="宋体" w:hAnsi="宋体" w:cs="宋体"/>
                <w:kern w:val="0"/>
                <w:sz w:val="24"/>
              </w:rPr>
            </w:pPr>
            <w:r>
              <w:rPr>
                <w:rFonts w:hint="eastAsia" w:ascii="宋体" w:hAnsi="宋体" w:cs="宋体"/>
                <w:kern w:val="0"/>
                <w:sz w:val="24"/>
              </w:rPr>
              <w:t>杉树</w:t>
            </w:r>
          </w:p>
          <w:p>
            <w:pPr>
              <w:widowControl/>
              <w:spacing w:line="360" w:lineRule="exact"/>
              <w:jc w:val="center"/>
              <w:rPr>
                <w:rFonts w:ascii="宋体" w:hAnsi="宋体" w:cs="宋体"/>
                <w:kern w:val="0"/>
                <w:sz w:val="24"/>
              </w:rPr>
            </w:pPr>
            <w:r>
              <w:rPr>
                <w:rFonts w:hint="eastAsia" w:ascii="宋体" w:hAnsi="宋体" w:cs="宋体"/>
                <w:kern w:val="0"/>
                <w:sz w:val="24"/>
              </w:rPr>
              <w:t>樟树</w:t>
            </w:r>
          </w:p>
          <w:p>
            <w:pPr>
              <w:widowControl/>
              <w:spacing w:line="360" w:lineRule="exact"/>
              <w:jc w:val="center"/>
              <w:rPr>
                <w:rFonts w:ascii="宋体" w:hAnsi="宋体" w:cs="宋体"/>
                <w:kern w:val="0"/>
                <w:sz w:val="24"/>
              </w:rPr>
            </w:pPr>
            <w:r>
              <w:rPr>
                <w:rFonts w:hint="eastAsia" w:ascii="宋体" w:hAnsi="宋体" w:cs="宋体"/>
                <w:kern w:val="0"/>
                <w:sz w:val="24"/>
              </w:rPr>
              <w:t>榕树</w:t>
            </w:r>
          </w:p>
        </w:tc>
        <w:tc>
          <w:tcPr>
            <w:tcW w:w="2436"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胸径＜5cm</w:t>
            </w:r>
          </w:p>
        </w:tc>
        <w:tc>
          <w:tcPr>
            <w:tcW w:w="2313"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7元/株</w:t>
            </w:r>
          </w:p>
        </w:tc>
        <w:tc>
          <w:tcPr>
            <w:tcW w:w="2563"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76" w:type="dxa"/>
            <w:vMerge w:val="continue"/>
            <w:vAlign w:val="center"/>
          </w:tcPr>
          <w:p>
            <w:pPr>
              <w:widowControl/>
              <w:spacing w:line="360" w:lineRule="exact"/>
              <w:jc w:val="left"/>
              <w:rPr>
                <w:rFonts w:ascii="宋体" w:hAnsi="宋体" w:cs="宋体"/>
                <w:kern w:val="0"/>
                <w:sz w:val="24"/>
              </w:rPr>
            </w:pPr>
          </w:p>
        </w:tc>
        <w:tc>
          <w:tcPr>
            <w:tcW w:w="2436"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5cm≤胸径＜8cm</w:t>
            </w:r>
          </w:p>
        </w:tc>
        <w:tc>
          <w:tcPr>
            <w:tcW w:w="2313"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15元/株</w:t>
            </w:r>
          </w:p>
        </w:tc>
        <w:tc>
          <w:tcPr>
            <w:tcW w:w="2563" w:type="dxa"/>
            <w:vMerge w:val="restart"/>
            <w:vAlign w:val="center"/>
          </w:tcPr>
          <w:p>
            <w:pPr>
              <w:widowControl/>
              <w:spacing w:line="360" w:lineRule="exact"/>
              <w:jc w:val="center"/>
              <w:rPr>
                <w:rFonts w:ascii="宋体" w:hAnsi="宋体" w:cs="宋体"/>
                <w:kern w:val="0"/>
                <w:sz w:val="24"/>
              </w:rPr>
            </w:pPr>
            <w:r>
              <w:rPr>
                <w:rFonts w:hint="eastAsia" w:ascii="宋体" w:hAnsi="宋体" w:cs="宋体"/>
                <w:kern w:val="0"/>
                <w:sz w:val="24"/>
              </w:rPr>
              <w:t>以地面以上1.3米处</w:t>
            </w:r>
          </w:p>
          <w:p>
            <w:pPr>
              <w:widowControl/>
              <w:spacing w:line="360" w:lineRule="exact"/>
              <w:jc w:val="center"/>
              <w:rPr>
                <w:rFonts w:ascii="宋体" w:hAnsi="宋体" w:cs="宋体"/>
                <w:kern w:val="0"/>
                <w:sz w:val="24"/>
              </w:rPr>
            </w:pPr>
            <w:r>
              <w:rPr>
                <w:rFonts w:hint="eastAsia" w:ascii="宋体" w:hAnsi="宋体" w:cs="宋体"/>
                <w:kern w:val="0"/>
                <w:sz w:val="24"/>
              </w:rPr>
              <w:t>胸径为准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6" w:type="dxa"/>
            <w:vMerge w:val="continue"/>
            <w:vAlign w:val="center"/>
          </w:tcPr>
          <w:p>
            <w:pPr>
              <w:widowControl/>
              <w:spacing w:line="360" w:lineRule="exact"/>
              <w:jc w:val="left"/>
              <w:rPr>
                <w:rFonts w:ascii="宋体" w:hAnsi="宋体" w:cs="宋体"/>
                <w:kern w:val="0"/>
                <w:sz w:val="24"/>
              </w:rPr>
            </w:pPr>
          </w:p>
        </w:tc>
        <w:tc>
          <w:tcPr>
            <w:tcW w:w="2436"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8cm≤胸径＜15cm</w:t>
            </w:r>
          </w:p>
        </w:tc>
        <w:tc>
          <w:tcPr>
            <w:tcW w:w="2313"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30元/株</w:t>
            </w:r>
          </w:p>
        </w:tc>
        <w:tc>
          <w:tcPr>
            <w:tcW w:w="2563" w:type="dxa"/>
            <w:vMerge w:val="continue"/>
            <w:vAlign w:val="center"/>
          </w:tcPr>
          <w:p>
            <w:pPr>
              <w:widowControl/>
              <w:spacing w:line="3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6" w:type="dxa"/>
            <w:vMerge w:val="continue"/>
            <w:vAlign w:val="center"/>
          </w:tcPr>
          <w:p>
            <w:pPr>
              <w:widowControl/>
              <w:spacing w:line="360" w:lineRule="exact"/>
              <w:jc w:val="left"/>
              <w:rPr>
                <w:rFonts w:ascii="宋体" w:hAnsi="宋体" w:cs="宋体"/>
                <w:kern w:val="0"/>
                <w:sz w:val="24"/>
              </w:rPr>
            </w:pPr>
          </w:p>
        </w:tc>
        <w:tc>
          <w:tcPr>
            <w:tcW w:w="2436"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胸径≥15cm</w:t>
            </w:r>
          </w:p>
        </w:tc>
        <w:tc>
          <w:tcPr>
            <w:tcW w:w="2313"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60元/株</w:t>
            </w:r>
          </w:p>
        </w:tc>
        <w:tc>
          <w:tcPr>
            <w:tcW w:w="2563" w:type="dxa"/>
            <w:vMerge w:val="continue"/>
            <w:vAlign w:val="center"/>
          </w:tcPr>
          <w:p>
            <w:pPr>
              <w:widowControl/>
              <w:spacing w:line="3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6" w:type="dxa"/>
            <w:vMerge w:val="restart"/>
            <w:vAlign w:val="center"/>
          </w:tcPr>
          <w:p>
            <w:pPr>
              <w:widowControl/>
              <w:spacing w:line="360" w:lineRule="exact"/>
              <w:jc w:val="center"/>
              <w:rPr>
                <w:rFonts w:ascii="宋体" w:hAnsi="宋体" w:cs="宋体"/>
                <w:kern w:val="0"/>
                <w:sz w:val="24"/>
              </w:rPr>
            </w:pPr>
            <w:r>
              <w:rPr>
                <w:rFonts w:hint="eastAsia" w:ascii="宋体" w:hAnsi="宋体" w:cs="宋体"/>
                <w:kern w:val="0"/>
                <w:sz w:val="24"/>
              </w:rPr>
              <w:t>松树</w:t>
            </w:r>
          </w:p>
          <w:p>
            <w:pPr>
              <w:widowControl/>
              <w:spacing w:line="360" w:lineRule="exact"/>
              <w:jc w:val="center"/>
              <w:rPr>
                <w:rFonts w:ascii="宋体" w:hAnsi="宋体" w:cs="宋体"/>
                <w:kern w:val="0"/>
                <w:sz w:val="24"/>
              </w:rPr>
            </w:pPr>
            <w:r>
              <w:rPr>
                <w:rFonts w:hint="eastAsia" w:ascii="宋体" w:hAnsi="宋体" w:cs="宋体"/>
                <w:kern w:val="0"/>
                <w:sz w:val="24"/>
              </w:rPr>
              <w:t>枫树</w:t>
            </w:r>
          </w:p>
          <w:p>
            <w:pPr>
              <w:widowControl/>
              <w:spacing w:line="360" w:lineRule="exact"/>
              <w:jc w:val="center"/>
              <w:rPr>
                <w:rFonts w:ascii="宋体" w:hAnsi="宋体" w:cs="宋体"/>
                <w:kern w:val="0"/>
                <w:sz w:val="24"/>
              </w:rPr>
            </w:pPr>
            <w:r>
              <w:rPr>
                <w:rFonts w:hint="eastAsia" w:ascii="宋体" w:hAnsi="宋体" w:cs="宋体"/>
                <w:kern w:val="0"/>
                <w:sz w:val="24"/>
              </w:rPr>
              <w:t>杂树</w:t>
            </w:r>
          </w:p>
        </w:tc>
        <w:tc>
          <w:tcPr>
            <w:tcW w:w="2436"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胸径＜10cm</w:t>
            </w:r>
          </w:p>
        </w:tc>
        <w:tc>
          <w:tcPr>
            <w:tcW w:w="2313"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4元/株</w:t>
            </w:r>
          </w:p>
        </w:tc>
        <w:tc>
          <w:tcPr>
            <w:tcW w:w="2563" w:type="dxa"/>
            <w:vMerge w:val="continue"/>
            <w:vAlign w:val="center"/>
          </w:tcPr>
          <w:p>
            <w:pPr>
              <w:widowControl/>
              <w:spacing w:line="3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6" w:type="dxa"/>
            <w:vMerge w:val="continue"/>
            <w:vAlign w:val="center"/>
          </w:tcPr>
          <w:p>
            <w:pPr>
              <w:widowControl/>
              <w:spacing w:line="360" w:lineRule="exact"/>
              <w:jc w:val="left"/>
              <w:rPr>
                <w:rFonts w:ascii="宋体" w:hAnsi="宋体" w:cs="宋体"/>
                <w:kern w:val="0"/>
                <w:sz w:val="24"/>
              </w:rPr>
            </w:pPr>
          </w:p>
        </w:tc>
        <w:tc>
          <w:tcPr>
            <w:tcW w:w="2436"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10cm≤胸径＜15cm</w:t>
            </w:r>
          </w:p>
        </w:tc>
        <w:tc>
          <w:tcPr>
            <w:tcW w:w="2313"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15元/株</w:t>
            </w:r>
          </w:p>
        </w:tc>
        <w:tc>
          <w:tcPr>
            <w:tcW w:w="2563" w:type="dxa"/>
            <w:vMerge w:val="continue"/>
            <w:vAlign w:val="center"/>
          </w:tcPr>
          <w:p>
            <w:pPr>
              <w:widowControl/>
              <w:spacing w:line="3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6" w:type="dxa"/>
            <w:vMerge w:val="continue"/>
            <w:vAlign w:val="center"/>
          </w:tcPr>
          <w:p>
            <w:pPr>
              <w:widowControl/>
              <w:spacing w:line="360" w:lineRule="exact"/>
              <w:jc w:val="left"/>
              <w:rPr>
                <w:rFonts w:ascii="宋体" w:hAnsi="宋体" w:cs="宋体"/>
                <w:kern w:val="0"/>
                <w:sz w:val="24"/>
              </w:rPr>
            </w:pPr>
          </w:p>
        </w:tc>
        <w:tc>
          <w:tcPr>
            <w:tcW w:w="2436"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胸径≥15cm</w:t>
            </w:r>
          </w:p>
        </w:tc>
        <w:tc>
          <w:tcPr>
            <w:tcW w:w="2313"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30元/株</w:t>
            </w:r>
          </w:p>
        </w:tc>
        <w:tc>
          <w:tcPr>
            <w:tcW w:w="2563" w:type="dxa"/>
            <w:vMerge w:val="continue"/>
            <w:vAlign w:val="center"/>
          </w:tcPr>
          <w:p>
            <w:pPr>
              <w:widowControl/>
              <w:spacing w:line="3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76" w:type="dxa"/>
            <w:vMerge w:val="restart"/>
            <w:vAlign w:val="center"/>
          </w:tcPr>
          <w:p>
            <w:pPr>
              <w:widowControl/>
              <w:spacing w:line="360" w:lineRule="exact"/>
              <w:jc w:val="center"/>
              <w:rPr>
                <w:rFonts w:ascii="宋体" w:hAnsi="宋体" w:cs="宋体"/>
                <w:kern w:val="0"/>
                <w:sz w:val="24"/>
              </w:rPr>
            </w:pPr>
            <w:r>
              <w:rPr>
                <w:rFonts w:hint="eastAsia" w:ascii="宋体" w:hAnsi="宋体" w:cs="宋体"/>
                <w:kern w:val="0"/>
                <w:sz w:val="24"/>
              </w:rPr>
              <w:t>柑桔</w:t>
            </w:r>
          </w:p>
          <w:p>
            <w:pPr>
              <w:widowControl/>
              <w:spacing w:line="360" w:lineRule="exact"/>
              <w:jc w:val="center"/>
              <w:rPr>
                <w:rFonts w:ascii="宋体" w:hAnsi="宋体" w:cs="宋体"/>
                <w:kern w:val="0"/>
                <w:sz w:val="24"/>
              </w:rPr>
            </w:pPr>
            <w:r>
              <w:rPr>
                <w:rFonts w:hint="eastAsia" w:ascii="宋体" w:hAnsi="宋体" w:cs="宋体"/>
                <w:kern w:val="0"/>
                <w:sz w:val="24"/>
              </w:rPr>
              <w:t>桃梨</w:t>
            </w:r>
          </w:p>
          <w:p>
            <w:pPr>
              <w:widowControl/>
              <w:spacing w:line="360" w:lineRule="exact"/>
              <w:jc w:val="center"/>
              <w:rPr>
                <w:rFonts w:ascii="宋体" w:hAnsi="宋体" w:cs="宋体"/>
                <w:kern w:val="0"/>
                <w:sz w:val="24"/>
              </w:rPr>
            </w:pPr>
            <w:r>
              <w:rPr>
                <w:rFonts w:hint="eastAsia" w:ascii="宋体" w:hAnsi="宋体" w:cs="宋体"/>
                <w:kern w:val="0"/>
                <w:sz w:val="24"/>
              </w:rPr>
              <w:t>枇杷等果树</w:t>
            </w:r>
          </w:p>
        </w:tc>
        <w:tc>
          <w:tcPr>
            <w:tcW w:w="2436"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幼龄期</w:t>
            </w:r>
          </w:p>
        </w:tc>
        <w:tc>
          <w:tcPr>
            <w:tcW w:w="2313"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20元/株</w:t>
            </w:r>
          </w:p>
        </w:tc>
        <w:tc>
          <w:tcPr>
            <w:tcW w:w="2563" w:type="dxa"/>
            <w:vMerge w:val="restart"/>
            <w:vAlign w:val="center"/>
          </w:tcPr>
          <w:p>
            <w:pPr>
              <w:widowControl/>
              <w:spacing w:line="360" w:lineRule="exact"/>
              <w:jc w:val="center"/>
              <w:rPr>
                <w:rFonts w:ascii="宋体" w:hAnsi="宋体" w:cs="宋体"/>
                <w:kern w:val="0"/>
                <w:sz w:val="24"/>
              </w:rPr>
            </w:pPr>
            <w:r>
              <w:rPr>
                <w:rFonts w:hint="eastAsia" w:ascii="宋体" w:hAnsi="宋体" w:cs="宋体"/>
                <w:kern w:val="0"/>
                <w:sz w:val="24"/>
              </w:rPr>
              <w:t>每亩不超过100株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6" w:type="dxa"/>
            <w:vMerge w:val="continue"/>
            <w:vAlign w:val="center"/>
          </w:tcPr>
          <w:p>
            <w:pPr>
              <w:widowControl/>
              <w:spacing w:line="360" w:lineRule="exact"/>
              <w:jc w:val="left"/>
              <w:rPr>
                <w:rFonts w:ascii="宋体" w:hAnsi="宋体" w:cs="宋体"/>
                <w:kern w:val="0"/>
                <w:sz w:val="24"/>
              </w:rPr>
            </w:pPr>
          </w:p>
        </w:tc>
        <w:tc>
          <w:tcPr>
            <w:tcW w:w="2436"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始果期</w:t>
            </w:r>
          </w:p>
        </w:tc>
        <w:tc>
          <w:tcPr>
            <w:tcW w:w="2313"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60元/株</w:t>
            </w:r>
          </w:p>
        </w:tc>
        <w:tc>
          <w:tcPr>
            <w:tcW w:w="2563" w:type="dxa"/>
            <w:vMerge w:val="continue"/>
            <w:vAlign w:val="center"/>
          </w:tcPr>
          <w:p>
            <w:pPr>
              <w:widowControl/>
              <w:spacing w:line="3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6" w:type="dxa"/>
            <w:vMerge w:val="continue"/>
            <w:vAlign w:val="center"/>
          </w:tcPr>
          <w:p>
            <w:pPr>
              <w:widowControl/>
              <w:spacing w:line="360" w:lineRule="exact"/>
              <w:jc w:val="left"/>
              <w:rPr>
                <w:rFonts w:ascii="宋体" w:hAnsi="宋体" w:cs="宋体"/>
                <w:kern w:val="0"/>
                <w:sz w:val="24"/>
              </w:rPr>
            </w:pPr>
          </w:p>
        </w:tc>
        <w:tc>
          <w:tcPr>
            <w:tcW w:w="2436"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盛果期</w:t>
            </w:r>
          </w:p>
        </w:tc>
        <w:tc>
          <w:tcPr>
            <w:tcW w:w="2313"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70元/株</w:t>
            </w:r>
          </w:p>
        </w:tc>
        <w:tc>
          <w:tcPr>
            <w:tcW w:w="2563" w:type="dxa"/>
            <w:vMerge w:val="continue"/>
            <w:vAlign w:val="center"/>
          </w:tcPr>
          <w:p>
            <w:pPr>
              <w:widowControl/>
              <w:spacing w:line="3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6" w:type="dxa"/>
            <w:vMerge w:val="continue"/>
            <w:vAlign w:val="center"/>
          </w:tcPr>
          <w:p>
            <w:pPr>
              <w:widowControl/>
              <w:spacing w:line="360" w:lineRule="exact"/>
              <w:jc w:val="left"/>
              <w:rPr>
                <w:rFonts w:ascii="宋体" w:hAnsi="宋体" w:cs="宋体"/>
                <w:kern w:val="0"/>
                <w:sz w:val="24"/>
              </w:rPr>
            </w:pPr>
          </w:p>
        </w:tc>
        <w:tc>
          <w:tcPr>
            <w:tcW w:w="2436"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衰退期</w:t>
            </w:r>
          </w:p>
        </w:tc>
        <w:tc>
          <w:tcPr>
            <w:tcW w:w="2313"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40元/株</w:t>
            </w:r>
          </w:p>
        </w:tc>
        <w:tc>
          <w:tcPr>
            <w:tcW w:w="2563" w:type="dxa"/>
            <w:vMerge w:val="continue"/>
            <w:vAlign w:val="center"/>
          </w:tcPr>
          <w:p>
            <w:pPr>
              <w:widowControl/>
              <w:spacing w:line="3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76" w:type="dxa"/>
            <w:vMerge w:val="restart"/>
            <w:vAlign w:val="center"/>
          </w:tcPr>
          <w:p>
            <w:pPr>
              <w:widowControl/>
              <w:spacing w:line="360" w:lineRule="exact"/>
              <w:jc w:val="center"/>
              <w:rPr>
                <w:rFonts w:ascii="宋体" w:hAnsi="宋体" w:cs="宋体"/>
                <w:kern w:val="0"/>
                <w:sz w:val="24"/>
              </w:rPr>
            </w:pPr>
            <w:r>
              <w:rPr>
                <w:rFonts w:hint="eastAsia" w:ascii="宋体" w:hAnsi="宋体" w:cs="宋体"/>
                <w:kern w:val="0"/>
                <w:sz w:val="24"/>
              </w:rPr>
              <w:t>杨梅</w:t>
            </w:r>
          </w:p>
        </w:tc>
        <w:tc>
          <w:tcPr>
            <w:tcW w:w="2436"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幼龄期</w:t>
            </w:r>
          </w:p>
        </w:tc>
        <w:tc>
          <w:tcPr>
            <w:tcW w:w="2313"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40元/株</w:t>
            </w:r>
          </w:p>
        </w:tc>
        <w:tc>
          <w:tcPr>
            <w:tcW w:w="2563" w:type="dxa"/>
            <w:vMerge w:val="restart"/>
            <w:vAlign w:val="center"/>
          </w:tcPr>
          <w:p>
            <w:pPr>
              <w:widowControl/>
              <w:spacing w:line="360" w:lineRule="exact"/>
              <w:jc w:val="center"/>
              <w:rPr>
                <w:rFonts w:ascii="宋体" w:hAnsi="宋体" w:cs="宋体"/>
                <w:kern w:val="0"/>
                <w:sz w:val="24"/>
              </w:rPr>
            </w:pPr>
            <w:r>
              <w:rPr>
                <w:rFonts w:hint="eastAsia" w:ascii="宋体" w:hAnsi="宋体" w:cs="宋体"/>
                <w:kern w:val="0"/>
                <w:sz w:val="24"/>
              </w:rPr>
              <w:t>每亩不超过30株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6" w:type="dxa"/>
            <w:vMerge w:val="continue"/>
            <w:vAlign w:val="center"/>
          </w:tcPr>
          <w:p>
            <w:pPr>
              <w:widowControl/>
              <w:spacing w:line="360" w:lineRule="exact"/>
              <w:jc w:val="left"/>
              <w:rPr>
                <w:rFonts w:ascii="宋体" w:hAnsi="宋体" w:cs="宋体"/>
                <w:kern w:val="0"/>
                <w:sz w:val="24"/>
              </w:rPr>
            </w:pPr>
          </w:p>
        </w:tc>
        <w:tc>
          <w:tcPr>
            <w:tcW w:w="2436"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始果期</w:t>
            </w:r>
          </w:p>
        </w:tc>
        <w:tc>
          <w:tcPr>
            <w:tcW w:w="2313"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120元/株</w:t>
            </w:r>
          </w:p>
        </w:tc>
        <w:tc>
          <w:tcPr>
            <w:tcW w:w="2563" w:type="dxa"/>
            <w:vMerge w:val="continue"/>
            <w:vAlign w:val="center"/>
          </w:tcPr>
          <w:p>
            <w:pPr>
              <w:widowControl/>
              <w:spacing w:line="3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6" w:type="dxa"/>
            <w:vMerge w:val="continue"/>
            <w:vAlign w:val="center"/>
          </w:tcPr>
          <w:p>
            <w:pPr>
              <w:widowControl/>
              <w:spacing w:line="360" w:lineRule="exact"/>
              <w:jc w:val="left"/>
              <w:rPr>
                <w:rFonts w:ascii="宋体" w:hAnsi="宋体" w:cs="宋体"/>
                <w:kern w:val="0"/>
                <w:sz w:val="24"/>
              </w:rPr>
            </w:pPr>
          </w:p>
        </w:tc>
        <w:tc>
          <w:tcPr>
            <w:tcW w:w="2436"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盛果期</w:t>
            </w:r>
          </w:p>
        </w:tc>
        <w:tc>
          <w:tcPr>
            <w:tcW w:w="2313"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240元/株</w:t>
            </w:r>
          </w:p>
        </w:tc>
        <w:tc>
          <w:tcPr>
            <w:tcW w:w="2563" w:type="dxa"/>
            <w:vMerge w:val="continue"/>
            <w:vAlign w:val="center"/>
          </w:tcPr>
          <w:p>
            <w:pPr>
              <w:widowControl/>
              <w:spacing w:line="3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6" w:type="dxa"/>
            <w:vMerge w:val="continue"/>
            <w:vAlign w:val="center"/>
          </w:tcPr>
          <w:p>
            <w:pPr>
              <w:widowControl/>
              <w:spacing w:line="360" w:lineRule="exact"/>
              <w:jc w:val="left"/>
              <w:rPr>
                <w:rFonts w:ascii="宋体" w:hAnsi="宋体" w:cs="宋体"/>
                <w:kern w:val="0"/>
                <w:sz w:val="24"/>
              </w:rPr>
            </w:pPr>
          </w:p>
        </w:tc>
        <w:tc>
          <w:tcPr>
            <w:tcW w:w="2436"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衰退期</w:t>
            </w:r>
          </w:p>
        </w:tc>
        <w:tc>
          <w:tcPr>
            <w:tcW w:w="2313"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120元/株</w:t>
            </w:r>
          </w:p>
        </w:tc>
        <w:tc>
          <w:tcPr>
            <w:tcW w:w="2563" w:type="dxa"/>
            <w:vMerge w:val="continue"/>
            <w:vAlign w:val="center"/>
          </w:tcPr>
          <w:p>
            <w:pPr>
              <w:widowControl/>
              <w:spacing w:line="3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6" w:type="dxa"/>
            <w:vMerge w:val="restart"/>
            <w:vAlign w:val="center"/>
          </w:tcPr>
          <w:p>
            <w:pPr>
              <w:widowControl/>
              <w:spacing w:line="360" w:lineRule="exact"/>
              <w:jc w:val="center"/>
              <w:rPr>
                <w:rFonts w:ascii="宋体" w:hAnsi="宋体" w:cs="宋体"/>
                <w:kern w:val="0"/>
                <w:sz w:val="24"/>
              </w:rPr>
            </w:pPr>
            <w:r>
              <w:rPr>
                <w:rFonts w:hint="eastAsia" w:ascii="宋体" w:hAnsi="宋体" w:cs="宋体"/>
                <w:sz w:val="24"/>
              </w:rPr>
              <w:t>文旦</w:t>
            </w:r>
          </w:p>
        </w:tc>
        <w:tc>
          <w:tcPr>
            <w:tcW w:w="2436" w:type="dxa"/>
            <w:vAlign w:val="center"/>
          </w:tcPr>
          <w:p>
            <w:pPr>
              <w:spacing w:line="300" w:lineRule="exact"/>
              <w:jc w:val="center"/>
              <w:rPr>
                <w:rFonts w:ascii="宋体" w:hAnsi="宋体" w:cs="宋体"/>
                <w:kern w:val="0"/>
                <w:sz w:val="24"/>
              </w:rPr>
            </w:pPr>
            <w:r>
              <w:rPr>
                <w:rFonts w:hint="eastAsia" w:ascii="宋体" w:hAnsi="宋体" w:cs="宋体"/>
                <w:sz w:val="24"/>
              </w:rPr>
              <w:t>幼龄期</w:t>
            </w:r>
          </w:p>
        </w:tc>
        <w:tc>
          <w:tcPr>
            <w:tcW w:w="2313" w:type="dxa"/>
            <w:vAlign w:val="center"/>
          </w:tcPr>
          <w:p>
            <w:pPr>
              <w:spacing w:line="300" w:lineRule="exact"/>
              <w:jc w:val="center"/>
              <w:rPr>
                <w:rFonts w:ascii="宋体" w:hAnsi="宋体" w:cs="宋体"/>
                <w:kern w:val="0"/>
                <w:sz w:val="24"/>
              </w:rPr>
            </w:pPr>
            <w:r>
              <w:rPr>
                <w:rFonts w:hint="eastAsia" w:ascii="宋体" w:hAnsi="宋体" w:cs="宋体"/>
                <w:sz w:val="24"/>
              </w:rPr>
              <w:t>15元∕株</w:t>
            </w:r>
          </w:p>
        </w:tc>
        <w:tc>
          <w:tcPr>
            <w:tcW w:w="2563" w:type="dxa"/>
            <w:vAlign w:val="center"/>
          </w:tcPr>
          <w:p>
            <w:pPr>
              <w:widowControl/>
              <w:spacing w:line="3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6" w:type="dxa"/>
            <w:vMerge w:val="continue"/>
            <w:vAlign w:val="center"/>
          </w:tcPr>
          <w:p>
            <w:pPr>
              <w:widowControl/>
              <w:spacing w:line="360" w:lineRule="exact"/>
              <w:jc w:val="left"/>
              <w:rPr>
                <w:rFonts w:ascii="宋体" w:hAnsi="宋体" w:cs="宋体"/>
                <w:kern w:val="0"/>
                <w:sz w:val="24"/>
              </w:rPr>
            </w:pPr>
          </w:p>
        </w:tc>
        <w:tc>
          <w:tcPr>
            <w:tcW w:w="2436" w:type="dxa"/>
            <w:vAlign w:val="center"/>
          </w:tcPr>
          <w:p>
            <w:pPr>
              <w:spacing w:line="300" w:lineRule="exact"/>
              <w:jc w:val="center"/>
              <w:rPr>
                <w:rFonts w:ascii="宋体" w:hAnsi="宋体" w:cs="宋体"/>
                <w:kern w:val="0"/>
                <w:sz w:val="24"/>
              </w:rPr>
            </w:pPr>
            <w:r>
              <w:rPr>
                <w:rFonts w:hint="eastAsia" w:ascii="宋体" w:hAnsi="宋体" w:cs="宋体"/>
                <w:sz w:val="24"/>
              </w:rPr>
              <w:t>中期</w:t>
            </w:r>
          </w:p>
        </w:tc>
        <w:tc>
          <w:tcPr>
            <w:tcW w:w="2313" w:type="dxa"/>
            <w:vAlign w:val="center"/>
          </w:tcPr>
          <w:p>
            <w:pPr>
              <w:spacing w:line="300" w:lineRule="exact"/>
              <w:jc w:val="center"/>
              <w:rPr>
                <w:rFonts w:ascii="宋体" w:hAnsi="宋体" w:cs="宋体"/>
                <w:kern w:val="0"/>
                <w:sz w:val="24"/>
              </w:rPr>
            </w:pPr>
            <w:r>
              <w:rPr>
                <w:rFonts w:hint="eastAsia" w:ascii="宋体" w:hAnsi="宋体" w:cs="宋体"/>
                <w:sz w:val="24"/>
              </w:rPr>
              <w:t>100元∕株</w:t>
            </w:r>
          </w:p>
        </w:tc>
        <w:tc>
          <w:tcPr>
            <w:tcW w:w="2563" w:type="dxa"/>
            <w:vAlign w:val="center"/>
          </w:tcPr>
          <w:p>
            <w:pPr>
              <w:widowControl/>
              <w:spacing w:line="3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6" w:type="dxa"/>
            <w:vMerge w:val="continue"/>
            <w:vAlign w:val="center"/>
          </w:tcPr>
          <w:p>
            <w:pPr>
              <w:widowControl/>
              <w:spacing w:line="360" w:lineRule="exact"/>
              <w:jc w:val="left"/>
              <w:rPr>
                <w:rFonts w:ascii="宋体" w:hAnsi="宋体" w:cs="宋体"/>
                <w:kern w:val="0"/>
                <w:sz w:val="24"/>
              </w:rPr>
            </w:pPr>
          </w:p>
        </w:tc>
        <w:tc>
          <w:tcPr>
            <w:tcW w:w="2436" w:type="dxa"/>
            <w:vAlign w:val="center"/>
          </w:tcPr>
          <w:p>
            <w:pPr>
              <w:spacing w:line="300" w:lineRule="exact"/>
              <w:jc w:val="center"/>
              <w:rPr>
                <w:rFonts w:ascii="宋体" w:hAnsi="宋体" w:cs="宋体"/>
                <w:kern w:val="0"/>
                <w:sz w:val="24"/>
              </w:rPr>
            </w:pPr>
            <w:r>
              <w:rPr>
                <w:rFonts w:hint="eastAsia" w:ascii="宋体" w:hAnsi="宋体" w:cs="宋体"/>
                <w:sz w:val="24"/>
              </w:rPr>
              <w:t>始果期</w:t>
            </w:r>
          </w:p>
        </w:tc>
        <w:tc>
          <w:tcPr>
            <w:tcW w:w="2313" w:type="dxa"/>
            <w:vAlign w:val="center"/>
          </w:tcPr>
          <w:p>
            <w:pPr>
              <w:spacing w:line="300" w:lineRule="exact"/>
              <w:jc w:val="center"/>
              <w:rPr>
                <w:rFonts w:ascii="宋体" w:hAnsi="宋体" w:cs="宋体"/>
                <w:kern w:val="0"/>
                <w:sz w:val="24"/>
              </w:rPr>
            </w:pPr>
            <w:r>
              <w:rPr>
                <w:rFonts w:hint="eastAsia" w:ascii="宋体" w:hAnsi="宋体" w:cs="宋体"/>
                <w:sz w:val="24"/>
              </w:rPr>
              <w:t>350元∕株</w:t>
            </w:r>
          </w:p>
        </w:tc>
        <w:tc>
          <w:tcPr>
            <w:tcW w:w="2563" w:type="dxa"/>
            <w:vAlign w:val="center"/>
          </w:tcPr>
          <w:p>
            <w:pPr>
              <w:widowControl/>
              <w:spacing w:line="3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6" w:type="dxa"/>
            <w:vMerge w:val="continue"/>
            <w:vAlign w:val="center"/>
          </w:tcPr>
          <w:p>
            <w:pPr>
              <w:widowControl/>
              <w:spacing w:line="360" w:lineRule="exact"/>
              <w:jc w:val="left"/>
              <w:rPr>
                <w:rFonts w:ascii="宋体" w:hAnsi="宋体" w:cs="宋体"/>
                <w:kern w:val="0"/>
                <w:sz w:val="24"/>
              </w:rPr>
            </w:pPr>
          </w:p>
        </w:tc>
        <w:tc>
          <w:tcPr>
            <w:tcW w:w="2436" w:type="dxa"/>
            <w:vAlign w:val="center"/>
          </w:tcPr>
          <w:p>
            <w:pPr>
              <w:spacing w:line="300" w:lineRule="exact"/>
              <w:jc w:val="center"/>
              <w:rPr>
                <w:rFonts w:ascii="宋体" w:hAnsi="宋体" w:cs="宋体"/>
                <w:kern w:val="0"/>
                <w:sz w:val="24"/>
              </w:rPr>
            </w:pPr>
            <w:r>
              <w:rPr>
                <w:rFonts w:hint="eastAsia" w:ascii="宋体" w:hAnsi="宋体" w:cs="宋体"/>
                <w:sz w:val="24"/>
              </w:rPr>
              <w:t>盛果期</w:t>
            </w:r>
          </w:p>
        </w:tc>
        <w:tc>
          <w:tcPr>
            <w:tcW w:w="2313" w:type="dxa"/>
            <w:vAlign w:val="center"/>
          </w:tcPr>
          <w:p>
            <w:pPr>
              <w:spacing w:line="300" w:lineRule="exact"/>
              <w:jc w:val="center"/>
              <w:rPr>
                <w:rFonts w:ascii="宋体" w:hAnsi="宋体" w:cs="宋体"/>
                <w:kern w:val="0"/>
                <w:sz w:val="24"/>
              </w:rPr>
            </w:pPr>
            <w:r>
              <w:rPr>
                <w:rFonts w:hint="eastAsia" w:ascii="宋体" w:hAnsi="宋体" w:cs="宋体"/>
                <w:sz w:val="24"/>
              </w:rPr>
              <w:t>700元∕株</w:t>
            </w:r>
          </w:p>
        </w:tc>
        <w:tc>
          <w:tcPr>
            <w:tcW w:w="2563" w:type="dxa"/>
            <w:vAlign w:val="center"/>
          </w:tcPr>
          <w:p>
            <w:pPr>
              <w:widowControl/>
              <w:spacing w:line="3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6"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毛竹</w:t>
            </w:r>
          </w:p>
        </w:tc>
        <w:tc>
          <w:tcPr>
            <w:tcW w:w="2436"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 </w:t>
            </w:r>
          </w:p>
        </w:tc>
        <w:tc>
          <w:tcPr>
            <w:tcW w:w="2313"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30元/100斤</w:t>
            </w:r>
          </w:p>
        </w:tc>
        <w:tc>
          <w:tcPr>
            <w:tcW w:w="2563"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6"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水竹</w:t>
            </w:r>
          </w:p>
        </w:tc>
        <w:tc>
          <w:tcPr>
            <w:tcW w:w="2436"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 </w:t>
            </w:r>
          </w:p>
        </w:tc>
        <w:tc>
          <w:tcPr>
            <w:tcW w:w="2313"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20元/100斤</w:t>
            </w:r>
          </w:p>
        </w:tc>
        <w:tc>
          <w:tcPr>
            <w:tcW w:w="2563"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1576" w:type="dxa"/>
            <w:vAlign w:val="center"/>
          </w:tcPr>
          <w:p>
            <w:pPr>
              <w:spacing w:line="600" w:lineRule="exact"/>
              <w:jc w:val="center"/>
              <w:rPr>
                <w:rFonts w:ascii="宋体" w:hAnsi="宋体" w:cs="宋体"/>
                <w:kern w:val="0"/>
                <w:sz w:val="24"/>
              </w:rPr>
            </w:pPr>
            <w:r>
              <w:rPr>
                <w:rFonts w:hint="eastAsia" w:ascii="宋体" w:hAnsi="宋体" w:cs="宋体"/>
                <w:sz w:val="24"/>
              </w:rPr>
              <w:t>绿竹</w:t>
            </w:r>
          </w:p>
        </w:tc>
        <w:tc>
          <w:tcPr>
            <w:tcW w:w="2436" w:type="dxa"/>
            <w:vAlign w:val="center"/>
          </w:tcPr>
          <w:p>
            <w:pPr>
              <w:spacing w:line="600" w:lineRule="exact"/>
              <w:jc w:val="center"/>
              <w:rPr>
                <w:rFonts w:ascii="宋体" w:hAnsi="宋体" w:cs="宋体"/>
                <w:kern w:val="0"/>
                <w:sz w:val="24"/>
              </w:rPr>
            </w:pPr>
            <w:r>
              <w:rPr>
                <w:rFonts w:hint="eastAsia" w:ascii="宋体" w:hAnsi="宋体" w:cs="宋体"/>
                <w:sz w:val="24"/>
              </w:rPr>
              <w:t>新栽植</w:t>
            </w:r>
          </w:p>
        </w:tc>
        <w:tc>
          <w:tcPr>
            <w:tcW w:w="2313" w:type="dxa"/>
            <w:vAlign w:val="center"/>
          </w:tcPr>
          <w:p>
            <w:pPr>
              <w:spacing w:line="600" w:lineRule="exact"/>
              <w:jc w:val="center"/>
              <w:rPr>
                <w:rFonts w:ascii="宋体" w:hAnsi="宋体" w:cs="宋体"/>
                <w:kern w:val="0"/>
                <w:sz w:val="24"/>
              </w:rPr>
            </w:pPr>
            <w:r>
              <w:rPr>
                <w:rFonts w:hint="eastAsia" w:ascii="宋体" w:hAnsi="宋体" w:cs="宋体"/>
                <w:sz w:val="24"/>
              </w:rPr>
              <w:t>300元/亩</w:t>
            </w:r>
          </w:p>
        </w:tc>
        <w:tc>
          <w:tcPr>
            <w:tcW w:w="2563" w:type="dxa"/>
            <w:vMerge w:val="restart"/>
            <w:vAlign w:val="center"/>
          </w:tcPr>
          <w:p>
            <w:pPr>
              <w:widowControl/>
              <w:spacing w:line="360" w:lineRule="exact"/>
              <w:jc w:val="center"/>
              <w:rPr>
                <w:rFonts w:ascii="宋体" w:hAnsi="宋体" w:cs="宋体"/>
                <w:kern w:val="0"/>
                <w:sz w:val="24"/>
              </w:rPr>
            </w:pPr>
            <w:r>
              <w:rPr>
                <w:rFonts w:hint="eastAsia" w:ascii="宋体" w:hAnsi="宋体" w:cs="宋体"/>
                <w:kern w:val="0"/>
                <w:sz w:val="24"/>
              </w:rPr>
              <w:t>每亩丛数以40丛为准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76" w:type="dxa"/>
            <w:vMerge w:val="restart"/>
            <w:vAlign w:val="center"/>
          </w:tcPr>
          <w:p>
            <w:pPr>
              <w:widowControl/>
              <w:spacing w:line="360" w:lineRule="exact"/>
              <w:jc w:val="center"/>
              <w:rPr>
                <w:rFonts w:ascii="宋体" w:hAnsi="宋体" w:cs="宋体"/>
                <w:kern w:val="0"/>
                <w:sz w:val="24"/>
              </w:rPr>
            </w:pPr>
            <w:r>
              <w:rPr>
                <w:rFonts w:hint="eastAsia" w:ascii="宋体" w:hAnsi="宋体" w:cs="宋体"/>
                <w:kern w:val="0"/>
                <w:sz w:val="24"/>
              </w:rPr>
              <w:t>马蹄笋竹</w:t>
            </w:r>
          </w:p>
        </w:tc>
        <w:tc>
          <w:tcPr>
            <w:tcW w:w="2436"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新栽植</w:t>
            </w:r>
          </w:p>
        </w:tc>
        <w:tc>
          <w:tcPr>
            <w:tcW w:w="2313"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300元/亩</w:t>
            </w:r>
          </w:p>
        </w:tc>
        <w:tc>
          <w:tcPr>
            <w:tcW w:w="2563" w:type="dxa"/>
            <w:vMerge w:val="continue"/>
            <w:vAlign w:val="center"/>
          </w:tcPr>
          <w:p>
            <w:pPr>
              <w:widowControl/>
              <w:spacing w:line="36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6" w:type="dxa"/>
            <w:vMerge w:val="continue"/>
            <w:vAlign w:val="center"/>
          </w:tcPr>
          <w:p>
            <w:pPr>
              <w:widowControl/>
              <w:spacing w:line="360" w:lineRule="exact"/>
              <w:jc w:val="left"/>
              <w:rPr>
                <w:rFonts w:ascii="宋体" w:hAnsi="宋体" w:cs="宋体"/>
                <w:kern w:val="0"/>
                <w:sz w:val="24"/>
              </w:rPr>
            </w:pPr>
          </w:p>
        </w:tc>
        <w:tc>
          <w:tcPr>
            <w:tcW w:w="2436"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盛产期</w:t>
            </w:r>
          </w:p>
        </w:tc>
        <w:tc>
          <w:tcPr>
            <w:tcW w:w="2313"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2000—2500元/亩</w:t>
            </w:r>
          </w:p>
        </w:tc>
        <w:tc>
          <w:tcPr>
            <w:tcW w:w="2563" w:type="dxa"/>
            <w:vMerge w:val="continue"/>
            <w:vAlign w:val="center"/>
          </w:tcPr>
          <w:p>
            <w:pPr>
              <w:widowControl/>
              <w:spacing w:line="360" w:lineRule="exact"/>
              <w:jc w:val="left"/>
              <w:rPr>
                <w:rFonts w:ascii="宋体" w:hAnsi="宋体" w:cs="宋体"/>
                <w:kern w:val="0"/>
                <w:sz w:val="24"/>
              </w:rPr>
            </w:pPr>
          </w:p>
        </w:tc>
      </w:tr>
    </w:tbl>
    <w:p>
      <w:pPr>
        <w:widowControl/>
        <w:adjustRightInd w:val="0"/>
        <w:snapToGrid w:val="0"/>
        <w:spacing w:line="600" w:lineRule="exact"/>
        <w:jc w:val="left"/>
        <w:rPr>
          <w:rFonts w:cs="宋体"/>
          <w:kern w:val="0"/>
          <w:sz w:val="24"/>
        </w:rPr>
      </w:pPr>
      <w:r>
        <w:rPr>
          <w:rFonts w:hint="eastAsia" w:ascii="宋体" w:hAnsi="宋体" w:cs="宋体"/>
          <w:kern w:val="0"/>
          <w:sz w:val="24"/>
        </w:rPr>
        <w:t>注：水域养殖损失，按照当前市场价予以补偿。</w:t>
      </w:r>
    </w:p>
    <w:p>
      <w:pPr>
        <w:widowControl/>
        <w:adjustRightInd w:val="0"/>
        <w:snapToGrid w:val="0"/>
        <w:spacing w:line="600" w:lineRule="exact"/>
        <w:jc w:val="left"/>
        <w:rPr>
          <w:rFonts w:ascii="黑体" w:hAnsi="宋体" w:eastAsia="黑体" w:cs="宋体"/>
          <w:kern w:val="0"/>
          <w:sz w:val="32"/>
          <w:szCs w:val="32"/>
        </w:rPr>
      </w:pPr>
    </w:p>
    <w:p>
      <w:pPr>
        <w:widowControl/>
        <w:adjustRightInd w:val="0"/>
        <w:snapToGrid w:val="0"/>
        <w:spacing w:line="600" w:lineRule="exact"/>
        <w:jc w:val="left"/>
        <w:rPr>
          <w:rFonts w:ascii="黑体" w:hAnsi="宋体" w:eastAsia="黑体" w:cs="宋体"/>
          <w:kern w:val="0"/>
          <w:sz w:val="32"/>
          <w:szCs w:val="32"/>
        </w:rPr>
      </w:pPr>
    </w:p>
    <w:p>
      <w:pPr>
        <w:widowControl/>
        <w:adjustRightInd w:val="0"/>
        <w:snapToGrid w:val="0"/>
        <w:spacing w:line="600" w:lineRule="exact"/>
        <w:jc w:val="left"/>
        <w:rPr>
          <w:rFonts w:ascii="黑体" w:hAnsi="宋体" w:eastAsia="黑体" w:cs="宋体"/>
          <w:kern w:val="0"/>
          <w:sz w:val="32"/>
          <w:szCs w:val="32"/>
        </w:rPr>
      </w:pPr>
      <w:r>
        <w:rPr>
          <w:rFonts w:hint="eastAsia" w:ascii="黑体" w:hAnsi="宋体" w:eastAsia="黑体" w:cs="宋体"/>
          <w:kern w:val="0"/>
          <w:sz w:val="32"/>
          <w:szCs w:val="32"/>
        </w:rPr>
        <w:t>附</w:t>
      </w:r>
      <w:r>
        <w:rPr>
          <w:rFonts w:hint="eastAsia" w:ascii="仿宋_GB2312" w:eastAsia="仿宋_GB2312"/>
          <w:sz w:val="32"/>
          <w:szCs w:val="32"/>
        </w:rPr>
        <w:t>件</w:t>
      </w:r>
      <w:r>
        <w:rPr>
          <w:rFonts w:hint="eastAsia" w:ascii="黑体" w:hAnsi="宋体" w:eastAsia="黑体" w:cs="宋体"/>
          <w:kern w:val="0"/>
          <w:sz w:val="32"/>
          <w:szCs w:val="32"/>
        </w:rPr>
        <w:t>2</w:t>
      </w:r>
    </w:p>
    <w:p>
      <w:pPr>
        <w:widowControl/>
        <w:adjustRightInd w:val="0"/>
        <w:snapToGrid w:val="0"/>
        <w:spacing w:line="600" w:lineRule="exact"/>
        <w:jc w:val="left"/>
        <w:rPr>
          <w:rFonts w:ascii="黑体" w:eastAsia="黑体"/>
          <w:kern w:val="0"/>
          <w:sz w:val="24"/>
        </w:rPr>
      </w:pPr>
    </w:p>
    <w:p>
      <w:pPr>
        <w:spacing w:line="600" w:lineRule="exact"/>
        <w:jc w:val="center"/>
        <w:rPr>
          <w:rFonts w:ascii="宋体" w:hAnsi="宋体"/>
          <w:sz w:val="28"/>
          <w:szCs w:val="28"/>
        </w:rPr>
      </w:pPr>
      <w:r>
        <w:rPr>
          <w:rFonts w:hint="eastAsia" w:ascii="黑体" w:hAnsi="宋体" w:eastAsia="黑体"/>
          <w:sz w:val="36"/>
          <w:szCs w:val="36"/>
        </w:rPr>
        <w:t>被征收房屋重置价格、成新折旧标准</w:t>
      </w:r>
    </w:p>
    <w:p>
      <w:pPr>
        <w:spacing w:line="600" w:lineRule="exact"/>
        <w:rPr>
          <w:rFonts w:ascii="宋体" w:hAnsi="宋体"/>
          <w:sz w:val="28"/>
          <w:szCs w:val="28"/>
        </w:rPr>
      </w:pPr>
    </w:p>
    <w:p>
      <w:pPr>
        <w:spacing w:line="600" w:lineRule="exact"/>
        <w:ind w:firstLine="6160" w:firstLineChars="2200"/>
        <w:rPr>
          <w:rFonts w:ascii="宋体" w:hAnsi="宋体"/>
          <w:sz w:val="28"/>
          <w:szCs w:val="28"/>
        </w:rPr>
      </w:pPr>
      <w:r>
        <w:rPr>
          <w:rFonts w:hint="eastAsia" w:ascii="宋体" w:hAnsi="宋体"/>
          <w:sz w:val="28"/>
          <w:szCs w:val="28"/>
        </w:rPr>
        <w:t>单位：元/平方米</w:t>
      </w:r>
    </w:p>
    <w:tbl>
      <w:tblPr>
        <w:tblStyle w:val="4"/>
        <w:tblW w:w="90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1"/>
        <w:gridCol w:w="1689"/>
        <w:gridCol w:w="1501"/>
        <w:gridCol w:w="1501"/>
        <w:gridCol w:w="1501"/>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150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房屋结构</w:t>
            </w:r>
          </w:p>
        </w:tc>
        <w:tc>
          <w:tcPr>
            <w:tcW w:w="168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钢混小高层</w:t>
            </w:r>
          </w:p>
        </w:tc>
        <w:tc>
          <w:tcPr>
            <w:tcW w:w="150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钢混多层</w:t>
            </w:r>
          </w:p>
        </w:tc>
        <w:tc>
          <w:tcPr>
            <w:tcW w:w="150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砖混</w:t>
            </w:r>
          </w:p>
        </w:tc>
        <w:tc>
          <w:tcPr>
            <w:tcW w:w="150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砖木</w:t>
            </w:r>
          </w:p>
        </w:tc>
        <w:tc>
          <w:tcPr>
            <w:tcW w:w="131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简易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150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重置价格</w:t>
            </w:r>
          </w:p>
        </w:tc>
        <w:tc>
          <w:tcPr>
            <w:tcW w:w="168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1560</w:t>
            </w:r>
          </w:p>
        </w:tc>
        <w:tc>
          <w:tcPr>
            <w:tcW w:w="150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980</w:t>
            </w:r>
          </w:p>
        </w:tc>
        <w:tc>
          <w:tcPr>
            <w:tcW w:w="150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700</w:t>
            </w:r>
          </w:p>
        </w:tc>
        <w:tc>
          <w:tcPr>
            <w:tcW w:w="150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600</w:t>
            </w:r>
          </w:p>
        </w:tc>
        <w:tc>
          <w:tcPr>
            <w:tcW w:w="131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200</w:t>
            </w:r>
          </w:p>
        </w:tc>
      </w:tr>
    </w:tbl>
    <w:p>
      <w:pPr>
        <w:widowControl/>
        <w:spacing w:line="600" w:lineRule="exact"/>
        <w:jc w:val="left"/>
        <w:rPr>
          <w:rFonts w:ascii="宋体" w:hAnsi="宋体"/>
          <w:sz w:val="28"/>
          <w:szCs w:val="28"/>
        </w:rPr>
      </w:pPr>
      <w:r>
        <w:rPr>
          <w:rFonts w:hint="eastAsia" w:ascii="宋体" w:hAnsi="宋体" w:cs="宋体"/>
          <w:kern w:val="0"/>
          <w:sz w:val="28"/>
          <w:szCs w:val="28"/>
        </w:rPr>
        <w:t>注：</w:t>
      </w:r>
      <w:r>
        <w:rPr>
          <w:rFonts w:hint="eastAsia" w:ascii="宋体" w:hAnsi="宋体"/>
          <w:sz w:val="28"/>
          <w:szCs w:val="28"/>
        </w:rPr>
        <w:t xml:space="preserve">成新折旧按照已使用每年1%扣除计算（以评估时间为准），折旧后最低不低于重置价50%。                                                             </w:t>
      </w:r>
    </w:p>
    <w:p>
      <w:pPr>
        <w:widowControl/>
        <w:spacing w:line="600" w:lineRule="exact"/>
        <w:jc w:val="left"/>
        <w:rPr>
          <w:rFonts w:ascii="宋体" w:hAnsi="宋体"/>
          <w:sz w:val="28"/>
          <w:szCs w:val="28"/>
        </w:rPr>
      </w:pPr>
    </w:p>
    <w:p>
      <w:pPr>
        <w:widowControl/>
        <w:spacing w:line="600" w:lineRule="exact"/>
        <w:jc w:val="left"/>
        <w:rPr>
          <w:rFonts w:ascii="仿宋_GB2312" w:hAnsi="宋体" w:eastAsia="仿宋_GB2312" w:cs="宋体"/>
          <w:kern w:val="0"/>
          <w:sz w:val="32"/>
          <w:szCs w:val="32"/>
        </w:rPr>
      </w:pPr>
    </w:p>
    <w:p>
      <w:pPr>
        <w:widowControl/>
        <w:spacing w:line="600" w:lineRule="exact"/>
        <w:jc w:val="left"/>
        <w:rPr>
          <w:rFonts w:ascii="仿宋_GB2312" w:hAnsi="宋体" w:eastAsia="仿宋_GB2312" w:cs="宋体"/>
          <w:kern w:val="0"/>
          <w:sz w:val="32"/>
          <w:szCs w:val="32"/>
        </w:rPr>
      </w:pPr>
    </w:p>
    <w:p>
      <w:pPr>
        <w:widowControl/>
        <w:spacing w:line="600" w:lineRule="exact"/>
        <w:jc w:val="left"/>
        <w:rPr>
          <w:rFonts w:ascii="仿宋_GB2312" w:hAnsi="宋体" w:eastAsia="仿宋_GB2312" w:cs="宋体"/>
          <w:kern w:val="0"/>
          <w:sz w:val="32"/>
          <w:szCs w:val="32"/>
        </w:rPr>
      </w:pPr>
    </w:p>
    <w:p>
      <w:pPr>
        <w:widowControl/>
        <w:spacing w:line="600" w:lineRule="exact"/>
        <w:jc w:val="left"/>
        <w:rPr>
          <w:rFonts w:ascii="仿宋_GB2312" w:hAnsi="宋体" w:eastAsia="仿宋_GB2312" w:cs="宋体"/>
          <w:kern w:val="0"/>
          <w:sz w:val="32"/>
          <w:szCs w:val="32"/>
        </w:rPr>
      </w:pPr>
    </w:p>
    <w:p>
      <w:pPr>
        <w:widowControl/>
        <w:spacing w:line="600" w:lineRule="exact"/>
        <w:jc w:val="left"/>
        <w:rPr>
          <w:rFonts w:ascii="仿宋_GB2312" w:hAnsi="宋体" w:eastAsia="仿宋_GB2312" w:cs="宋体"/>
          <w:kern w:val="0"/>
          <w:sz w:val="32"/>
          <w:szCs w:val="32"/>
        </w:rPr>
      </w:pPr>
    </w:p>
    <w:p>
      <w:pPr>
        <w:widowControl/>
        <w:spacing w:line="600" w:lineRule="exact"/>
        <w:jc w:val="left"/>
        <w:rPr>
          <w:rFonts w:ascii="仿宋_GB2312" w:hAnsi="宋体" w:eastAsia="仿宋_GB2312" w:cs="宋体"/>
          <w:kern w:val="0"/>
          <w:sz w:val="32"/>
          <w:szCs w:val="32"/>
        </w:rPr>
      </w:pPr>
    </w:p>
    <w:p>
      <w:pPr>
        <w:widowControl/>
        <w:spacing w:line="600" w:lineRule="exact"/>
        <w:jc w:val="left"/>
        <w:rPr>
          <w:rFonts w:ascii="黑体" w:hAnsi="宋体" w:eastAsia="黑体" w:cs="宋体"/>
          <w:kern w:val="0"/>
          <w:sz w:val="32"/>
          <w:szCs w:val="32"/>
        </w:rPr>
      </w:pPr>
    </w:p>
    <w:p>
      <w:pPr>
        <w:widowControl/>
        <w:spacing w:line="600" w:lineRule="exact"/>
        <w:jc w:val="left"/>
        <w:rPr>
          <w:rFonts w:ascii="黑体" w:hAnsi="宋体" w:eastAsia="黑体" w:cs="宋体"/>
          <w:kern w:val="0"/>
          <w:sz w:val="32"/>
          <w:szCs w:val="32"/>
        </w:rPr>
      </w:pPr>
      <w:r>
        <w:rPr>
          <w:rFonts w:hint="eastAsia" w:ascii="黑体" w:hAnsi="宋体" w:eastAsia="黑体" w:cs="宋体"/>
          <w:kern w:val="0"/>
          <w:sz w:val="32"/>
          <w:szCs w:val="32"/>
        </w:rPr>
        <w:t>附</w:t>
      </w:r>
      <w:r>
        <w:rPr>
          <w:rFonts w:hint="eastAsia" w:ascii="仿宋_GB2312" w:eastAsia="仿宋_GB2312"/>
          <w:sz w:val="32"/>
          <w:szCs w:val="32"/>
        </w:rPr>
        <w:t>件</w:t>
      </w:r>
      <w:r>
        <w:rPr>
          <w:rFonts w:hint="eastAsia" w:ascii="黑体" w:hAnsi="宋体" w:eastAsia="黑体" w:cs="宋体"/>
          <w:kern w:val="0"/>
          <w:sz w:val="32"/>
          <w:szCs w:val="32"/>
        </w:rPr>
        <w:t>3</w:t>
      </w:r>
    </w:p>
    <w:p>
      <w:pPr>
        <w:widowControl/>
        <w:spacing w:line="600" w:lineRule="exact"/>
        <w:jc w:val="center"/>
        <w:rPr>
          <w:rFonts w:ascii="宋体" w:hAnsi="宋体" w:cs="宋体"/>
          <w:kern w:val="0"/>
          <w:sz w:val="24"/>
        </w:rPr>
      </w:pPr>
      <w:r>
        <w:rPr>
          <w:rFonts w:hint="eastAsia" w:ascii="黑体" w:hAnsi="宋体" w:eastAsia="黑体" w:cs="宋体"/>
          <w:kern w:val="0"/>
          <w:sz w:val="36"/>
          <w:szCs w:val="36"/>
        </w:rPr>
        <w:t>地上附着物（构筑物）补偿参考价</w:t>
      </w:r>
    </w:p>
    <w:p>
      <w:pPr>
        <w:widowControl/>
        <w:spacing w:line="240" w:lineRule="exact"/>
        <w:jc w:val="center"/>
        <w:rPr>
          <w:rFonts w:ascii="宋体" w:hAnsi="宋体" w:cs="宋体"/>
          <w:kern w:val="0"/>
          <w:sz w:val="24"/>
        </w:rPr>
      </w:pPr>
    </w:p>
    <w:tbl>
      <w:tblPr>
        <w:tblStyle w:val="4"/>
        <w:tblW w:w="8820" w:type="dxa"/>
        <w:tblInd w:w="108" w:type="dxa"/>
        <w:tblLayout w:type="fixed"/>
        <w:tblCellMar>
          <w:top w:w="0" w:type="dxa"/>
          <w:left w:w="108" w:type="dxa"/>
          <w:bottom w:w="0" w:type="dxa"/>
          <w:right w:w="108" w:type="dxa"/>
        </w:tblCellMar>
      </w:tblPr>
      <w:tblGrid>
        <w:gridCol w:w="6120"/>
        <w:gridCol w:w="2700"/>
      </w:tblGrid>
      <w:tr>
        <w:tblPrEx>
          <w:tblCellMar>
            <w:top w:w="0" w:type="dxa"/>
            <w:left w:w="108" w:type="dxa"/>
            <w:bottom w:w="0" w:type="dxa"/>
            <w:right w:w="108" w:type="dxa"/>
          </w:tblCellMar>
        </w:tblPrEx>
        <w:trPr>
          <w:trHeight w:val="227" w:hRule="atLeast"/>
        </w:trPr>
        <w:tc>
          <w:tcPr>
            <w:tcW w:w="612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left"/>
              <w:textAlignment w:val="center"/>
              <w:rPr>
                <w:rFonts w:ascii="宋体" w:hAnsi="宋体" w:cs="宋体"/>
                <w:kern w:val="0"/>
                <w:sz w:val="24"/>
              </w:rPr>
            </w:pPr>
            <w:r>
              <w:rPr>
                <w:rFonts w:hint="eastAsia" w:ascii="宋体" w:hAnsi="宋体" w:cs="宋体"/>
                <w:kern w:val="0"/>
                <w:sz w:val="24"/>
              </w:rPr>
              <w:t>三面光渠道（砼混凝土结构）</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kern w:val="0"/>
                <w:sz w:val="24"/>
              </w:rPr>
            </w:pPr>
            <w:r>
              <w:rPr>
                <w:rFonts w:hint="eastAsia" w:ascii="宋体" w:hAnsi="宋体" w:cs="宋体"/>
                <w:kern w:val="0"/>
                <w:sz w:val="24"/>
              </w:rPr>
              <w:t xml:space="preserve">60-100元/m   </w:t>
            </w:r>
          </w:p>
        </w:tc>
      </w:tr>
      <w:tr>
        <w:tblPrEx>
          <w:tblCellMar>
            <w:top w:w="0" w:type="dxa"/>
            <w:left w:w="108" w:type="dxa"/>
            <w:bottom w:w="0" w:type="dxa"/>
            <w:right w:w="108" w:type="dxa"/>
          </w:tblCellMar>
        </w:tblPrEx>
        <w:trPr>
          <w:trHeight w:val="227" w:hRule="atLeast"/>
        </w:trPr>
        <w:tc>
          <w:tcPr>
            <w:tcW w:w="612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left"/>
              <w:textAlignment w:val="center"/>
              <w:rPr>
                <w:rFonts w:ascii="宋体" w:hAnsi="宋体" w:cs="宋体"/>
                <w:kern w:val="0"/>
                <w:sz w:val="24"/>
              </w:rPr>
            </w:pPr>
            <w:r>
              <w:rPr>
                <w:rFonts w:hint="eastAsia" w:ascii="宋体" w:hAnsi="宋体" w:cs="宋体"/>
                <w:kern w:val="0"/>
                <w:sz w:val="24"/>
              </w:rPr>
              <w:t xml:space="preserve">暗渠（水泥、石板结构及管径大小） </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kern w:val="0"/>
                <w:sz w:val="24"/>
              </w:rPr>
            </w:pPr>
            <w:r>
              <w:rPr>
                <w:rFonts w:hint="eastAsia" w:ascii="宋体" w:hAnsi="宋体" w:cs="宋体"/>
                <w:kern w:val="0"/>
                <w:sz w:val="24"/>
              </w:rPr>
              <w:t xml:space="preserve"> 60-80元/m</w:t>
            </w:r>
          </w:p>
        </w:tc>
      </w:tr>
      <w:tr>
        <w:tblPrEx>
          <w:tblCellMar>
            <w:top w:w="0" w:type="dxa"/>
            <w:left w:w="108" w:type="dxa"/>
            <w:bottom w:w="0" w:type="dxa"/>
            <w:right w:w="108" w:type="dxa"/>
          </w:tblCellMar>
        </w:tblPrEx>
        <w:trPr>
          <w:trHeight w:val="227" w:hRule="atLeast"/>
        </w:trPr>
        <w:tc>
          <w:tcPr>
            <w:tcW w:w="612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left"/>
              <w:textAlignment w:val="center"/>
              <w:rPr>
                <w:rFonts w:ascii="宋体" w:hAnsi="宋体" w:cs="宋体"/>
                <w:kern w:val="0"/>
                <w:sz w:val="24"/>
              </w:rPr>
            </w:pPr>
            <w:r>
              <w:rPr>
                <w:rFonts w:hint="eastAsia" w:ascii="宋体" w:hAnsi="宋体" w:cs="宋体"/>
                <w:kern w:val="0"/>
                <w:sz w:val="24"/>
              </w:rPr>
              <w:t>阴井（水泥砖、水泥盖）</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kern w:val="0"/>
                <w:sz w:val="24"/>
              </w:rPr>
            </w:pPr>
            <w:r>
              <w:rPr>
                <w:rFonts w:hint="eastAsia" w:ascii="宋体" w:hAnsi="宋体" w:cs="宋体"/>
                <w:kern w:val="0"/>
                <w:sz w:val="24"/>
              </w:rPr>
              <w:t>100-300元/个</w:t>
            </w:r>
          </w:p>
        </w:tc>
      </w:tr>
      <w:tr>
        <w:tblPrEx>
          <w:tblCellMar>
            <w:top w:w="0" w:type="dxa"/>
            <w:left w:w="108" w:type="dxa"/>
            <w:bottom w:w="0" w:type="dxa"/>
            <w:right w:w="108" w:type="dxa"/>
          </w:tblCellMar>
        </w:tblPrEx>
        <w:trPr>
          <w:trHeight w:val="227" w:hRule="atLeast"/>
        </w:trPr>
        <w:tc>
          <w:tcPr>
            <w:tcW w:w="612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left"/>
              <w:textAlignment w:val="center"/>
              <w:rPr>
                <w:rFonts w:ascii="宋体" w:hAnsi="宋体" w:cs="宋体"/>
                <w:kern w:val="0"/>
                <w:sz w:val="24"/>
              </w:rPr>
            </w:pPr>
            <w:r>
              <w:rPr>
                <w:rFonts w:hint="eastAsia" w:ascii="宋体" w:hAnsi="宋体" w:cs="宋体"/>
                <w:kern w:val="0"/>
                <w:sz w:val="24"/>
              </w:rPr>
              <w:t>机埠（块石、条石及砼混凝结构）</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kern w:val="0"/>
                <w:sz w:val="24"/>
              </w:rPr>
            </w:pPr>
            <w:r>
              <w:rPr>
                <w:rFonts w:hint="eastAsia" w:ascii="宋体" w:hAnsi="宋体" w:cs="宋体"/>
                <w:kern w:val="0"/>
                <w:sz w:val="24"/>
              </w:rPr>
              <w:t>30元/m</w:t>
            </w:r>
            <w:r>
              <w:rPr>
                <w:rFonts w:hint="eastAsia" w:ascii="宋体" w:hAnsi="宋体" w:cs="宋体"/>
                <w:kern w:val="0"/>
                <w:sz w:val="24"/>
                <w:vertAlign w:val="superscript"/>
              </w:rPr>
              <w:t>2</w:t>
            </w:r>
          </w:p>
        </w:tc>
      </w:tr>
      <w:tr>
        <w:tblPrEx>
          <w:tblCellMar>
            <w:top w:w="0" w:type="dxa"/>
            <w:left w:w="108" w:type="dxa"/>
            <w:bottom w:w="0" w:type="dxa"/>
            <w:right w:w="108" w:type="dxa"/>
          </w:tblCellMar>
        </w:tblPrEx>
        <w:trPr>
          <w:trHeight w:val="227" w:hRule="atLeast"/>
        </w:trPr>
        <w:tc>
          <w:tcPr>
            <w:tcW w:w="612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left"/>
              <w:textAlignment w:val="center"/>
              <w:rPr>
                <w:rFonts w:ascii="宋体" w:hAnsi="宋体" w:cs="宋体"/>
                <w:kern w:val="0"/>
                <w:sz w:val="24"/>
              </w:rPr>
            </w:pPr>
            <w:r>
              <w:rPr>
                <w:rFonts w:hint="eastAsia" w:ascii="宋体" w:hAnsi="宋体" w:cs="宋体"/>
                <w:kern w:val="0"/>
                <w:sz w:val="24"/>
              </w:rPr>
              <w:t>石阶河埠（块石、石板水泥沟缝）</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kern w:val="0"/>
                <w:sz w:val="24"/>
              </w:rPr>
            </w:pPr>
            <w:r>
              <w:rPr>
                <w:rFonts w:hint="eastAsia" w:ascii="宋体" w:hAnsi="宋体" w:cs="宋体"/>
                <w:kern w:val="0"/>
                <w:sz w:val="24"/>
              </w:rPr>
              <w:t xml:space="preserve">  20元/m</w:t>
            </w:r>
            <w:r>
              <w:rPr>
                <w:rFonts w:hint="eastAsia" w:ascii="宋体" w:hAnsi="宋体" w:cs="宋体"/>
                <w:kern w:val="0"/>
                <w:sz w:val="24"/>
                <w:vertAlign w:val="superscript"/>
              </w:rPr>
              <w:t>2</w:t>
            </w:r>
          </w:p>
        </w:tc>
      </w:tr>
      <w:tr>
        <w:tblPrEx>
          <w:tblCellMar>
            <w:top w:w="0" w:type="dxa"/>
            <w:left w:w="108" w:type="dxa"/>
            <w:bottom w:w="0" w:type="dxa"/>
            <w:right w:w="108" w:type="dxa"/>
          </w:tblCellMar>
        </w:tblPrEx>
        <w:trPr>
          <w:trHeight w:val="227" w:hRule="atLeast"/>
        </w:trPr>
        <w:tc>
          <w:tcPr>
            <w:tcW w:w="612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left"/>
              <w:textAlignment w:val="center"/>
              <w:rPr>
                <w:rFonts w:ascii="宋体" w:hAnsi="宋体" w:cs="宋体"/>
                <w:kern w:val="0"/>
                <w:sz w:val="24"/>
              </w:rPr>
            </w:pPr>
            <w:r>
              <w:rPr>
                <w:rFonts w:hint="eastAsia" w:ascii="宋体" w:hAnsi="宋体" w:cs="宋体"/>
                <w:kern w:val="0"/>
                <w:sz w:val="24"/>
              </w:rPr>
              <w:t>露天粪坑（石板混合土、水泥砖等结构）</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kern w:val="0"/>
                <w:sz w:val="24"/>
              </w:rPr>
            </w:pPr>
            <w:r>
              <w:rPr>
                <w:rFonts w:hint="eastAsia" w:ascii="宋体" w:hAnsi="宋体" w:cs="宋体"/>
                <w:kern w:val="0"/>
                <w:sz w:val="24"/>
              </w:rPr>
              <w:t>300元/个</w:t>
            </w:r>
          </w:p>
        </w:tc>
      </w:tr>
      <w:tr>
        <w:tblPrEx>
          <w:tblCellMar>
            <w:top w:w="0" w:type="dxa"/>
            <w:left w:w="108" w:type="dxa"/>
            <w:bottom w:w="0" w:type="dxa"/>
            <w:right w:w="108" w:type="dxa"/>
          </w:tblCellMar>
        </w:tblPrEx>
        <w:trPr>
          <w:trHeight w:val="227" w:hRule="atLeast"/>
        </w:trPr>
        <w:tc>
          <w:tcPr>
            <w:tcW w:w="612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left"/>
              <w:textAlignment w:val="center"/>
              <w:rPr>
                <w:rFonts w:ascii="宋体" w:hAnsi="宋体" w:cs="宋体"/>
                <w:kern w:val="0"/>
                <w:sz w:val="24"/>
              </w:rPr>
            </w:pPr>
            <w:r>
              <w:rPr>
                <w:rFonts w:hint="eastAsia" w:ascii="宋体" w:hAnsi="宋体" w:cs="宋体"/>
                <w:kern w:val="0"/>
                <w:sz w:val="24"/>
              </w:rPr>
              <w:t>简易厕所</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kern w:val="0"/>
                <w:sz w:val="24"/>
              </w:rPr>
            </w:pPr>
            <w:r>
              <w:rPr>
                <w:rFonts w:hint="eastAsia" w:ascii="宋体" w:hAnsi="宋体" w:cs="宋体"/>
                <w:kern w:val="0"/>
                <w:sz w:val="24"/>
              </w:rPr>
              <w:t xml:space="preserve">  150-300元/座</w:t>
            </w:r>
          </w:p>
        </w:tc>
      </w:tr>
      <w:tr>
        <w:tblPrEx>
          <w:tblCellMar>
            <w:top w:w="0" w:type="dxa"/>
            <w:left w:w="108" w:type="dxa"/>
            <w:bottom w:w="0" w:type="dxa"/>
            <w:right w:w="108" w:type="dxa"/>
          </w:tblCellMar>
        </w:tblPrEx>
        <w:trPr>
          <w:trHeight w:val="227" w:hRule="atLeast"/>
        </w:trPr>
        <w:tc>
          <w:tcPr>
            <w:tcW w:w="612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left"/>
              <w:textAlignment w:val="center"/>
              <w:rPr>
                <w:rFonts w:ascii="宋体" w:hAnsi="宋体" w:cs="宋体"/>
                <w:kern w:val="0"/>
                <w:sz w:val="24"/>
              </w:rPr>
            </w:pPr>
            <w:r>
              <w:rPr>
                <w:rFonts w:hint="eastAsia" w:ascii="宋体" w:hAnsi="宋体" w:cs="宋体"/>
                <w:kern w:val="0"/>
                <w:sz w:val="24"/>
              </w:rPr>
              <w:t xml:space="preserve">砼路面5公分（水泥沙石子结构） </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kern w:val="0"/>
                <w:sz w:val="24"/>
              </w:rPr>
            </w:pPr>
            <w:r>
              <w:rPr>
                <w:rFonts w:hint="eastAsia" w:ascii="宋体" w:hAnsi="宋体" w:cs="宋体"/>
                <w:kern w:val="0"/>
                <w:sz w:val="24"/>
              </w:rPr>
              <w:t>25元/m</w:t>
            </w:r>
            <w:r>
              <w:rPr>
                <w:rFonts w:hint="eastAsia" w:ascii="宋体" w:hAnsi="宋体" w:cs="宋体"/>
                <w:kern w:val="0"/>
                <w:sz w:val="24"/>
                <w:vertAlign w:val="superscript"/>
              </w:rPr>
              <w:t>2</w:t>
            </w:r>
          </w:p>
        </w:tc>
      </w:tr>
      <w:tr>
        <w:tblPrEx>
          <w:tblCellMar>
            <w:top w:w="0" w:type="dxa"/>
            <w:left w:w="108" w:type="dxa"/>
            <w:bottom w:w="0" w:type="dxa"/>
            <w:right w:w="108" w:type="dxa"/>
          </w:tblCellMar>
        </w:tblPrEx>
        <w:trPr>
          <w:trHeight w:val="227" w:hRule="atLeast"/>
        </w:trPr>
        <w:tc>
          <w:tcPr>
            <w:tcW w:w="612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left"/>
              <w:textAlignment w:val="center"/>
              <w:rPr>
                <w:rFonts w:ascii="宋体" w:hAnsi="宋体" w:cs="宋体"/>
                <w:kern w:val="0"/>
                <w:sz w:val="24"/>
              </w:rPr>
            </w:pPr>
            <w:r>
              <w:rPr>
                <w:rFonts w:hint="eastAsia" w:ascii="宋体" w:hAnsi="宋体" w:cs="宋体"/>
                <w:kern w:val="0"/>
                <w:sz w:val="24"/>
              </w:rPr>
              <w:t xml:space="preserve">砼路面10公分（水泥沙石子结构） </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kern w:val="0"/>
                <w:sz w:val="24"/>
              </w:rPr>
            </w:pPr>
            <w:r>
              <w:rPr>
                <w:rFonts w:hint="eastAsia" w:ascii="宋体" w:hAnsi="宋体" w:cs="宋体"/>
                <w:kern w:val="0"/>
                <w:sz w:val="24"/>
              </w:rPr>
              <w:t xml:space="preserve"> 30元/m</w:t>
            </w:r>
            <w:r>
              <w:rPr>
                <w:rFonts w:hint="eastAsia" w:ascii="宋体" w:hAnsi="宋体" w:cs="宋体"/>
                <w:kern w:val="0"/>
                <w:sz w:val="24"/>
                <w:vertAlign w:val="superscript"/>
              </w:rPr>
              <w:t>2</w:t>
            </w:r>
          </w:p>
        </w:tc>
      </w:tr>
      <w:tr>
        <w:tblPrEx>
          <w:tblCellMar>
            <w:top w:w="0" w:type="dxa"/>
            <w:left w:w="108" w:type="dxa"/>
            <w:bottom w:w="0" w:type="dxa"/>
            <w:right w:w="108" w:type="dxa"/>
          </w:tblCellMar>
        </w:tblPrEx>
        <w:trPr>
          <w:trHeight w:val="227" w:hRule="atLeast"/>
        </w:trPr>
        <w:tc>
          <w:tcPr>
            <w:tcW w:w="612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left"/>
              <w:textAlignment w:val="center"/>
              <w:rPr>
                <w:rFonts w:ascii="宋体" w:hAnsi="宋体" w:cs="宋体"/>
                <w:kern w:val="0"/>
                <w:sz w:val="24"/>
              </w:rPr>
            </w:pPr>
            <w:r>
              <w:rPr>
                <w:rFonts w:hint="eastAsia" w:ascii="宋体" w:hAnsi="宋体" w:cs="宋体"/>
                <w:kern w:val="0"/>
                <w:sz w:val="24"/>
              </w:rPr>
              <w:t xml:space="preserve">砼路面15公分（水泥沙石子结构）  </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kern w:val="0"/>
                <w:sz w:val="24"/>
              </w:rPr>
            </w:pPr>
            <w:r>
              <w:rPr>
                <w:rFonts w:hint="eastAsia" w:ascii="宋体" w:hAnsi="宋体" w:cs="宋体"/>
                <w:kern w:val="0"/>
                <w:sz w:val="24"/>
              </w:rPr>
              <w:t xml:space="preserve">  40元/m</w:t>
            </w:r>
            <w:r>
              <w:rPr>
                <w:rFonts w:hint="eastAsia" w:ascii="宋体" w:hAnsi="宋体" w:cs="宋体"/>
                <w:kern w:val="0"/>
                <w:sz w:val="24"/>
                <w:vertAlign w:val="superscript"/>
              </w:rPr>
              <w:t>2</w:t>
            </w:r>
          </w:p>
        </w:tc>
      </w:tr>
      <w:tr>
        <w:tblPrEx>
          <w:tblCellMar>
            <w:top w:w="0" w:type="dxa"/>
            <w:left w:w="108" w:type="dxa"/>
            <w:bottom w:w="0" w:type="dxa"/>
            <w:right w:w="108" w:type="dxa"/>
          </w:tblCellMar>
        </w:tblPrEx>
        <w:trPr>
          <w:trHeight w:val="227" w:hRule="atLeast"/>
        </w:trPr>
        <w:tc>
          <w:tcPr>
            <w:tcW w:w="612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left"/>
              <w:textAlignment w:val="center"/>
              <w:rPr>
                <w:rFonts w:ascii="宋体" w:hAnsi="宋体" w:cs="宋体"/>
                <w:kern w:val="0"/>
                <w:sz w:val="24"/>
              </w:rPr>
            </w:pPr>
            <w:r>
              <w:rPr>
                <w:rFonts w:hint="eastAsia" w:ascii="宋体" w:hAnsi="宋体" w:cs="宋体"/>
                <w:kern w:val="0"/>
                <w:sz w:val="24"/>
              </w:rPr>
              <w:t>沙石路（沙石结构）</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kern w:val="0"/>
                <w:sz w:val="24"/>
              </w:rPr>
            </w:pPr>
            <w:r>
              <w:rPr>
                <w:rFonts w:hint="eastAsia" w:ascii="宋体" w:hAnsi="宋体" w:cs="宋体"/>
                <w:kern w:val="0"/>
                <w:sz w:val="24"/>
              </w:rPr>
              <w:t xml:space="preserve">  20元/m</w:t>
            </w:r>
            <w:r>
              <w:rPr>
                <w:rFonts w:hint="eastAsia" w:ascii="宋体" w:hAnsi="宋体" w:cs="宋体"/>
                <w:kern w:val="0"/>
                <w:sz w:val="24"/>
                <w:vertAlign w:val="superscript"/>
              </w:rPr>
              <w:t>2</w:t>
            </w:r>
          </w:p>
        </w:tc>
      </w:tr>
      <w:tr>
        <w:tblPrEx>
          <w:tblCellMar>
            <w:top w:w="0" w:type="dxa"/>
            <w:left w:w="108" w:type="dxa"/>
            <w:bottom w:w="0" w:type="dxa"/>
            <w:right w:w="108" w:type="dxa"/>
          </w:tblCellMar>
        </w:tblPrEx>
        <w:trPr>
          <w:trHeight w:val="227" w:hRule="atLeast"/>
        </w:trPr>
        <w:tc>
          <w:tcPr>
            <w:tcW w:w="612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left"/>
              <w:textAlignment w:val="center"/>
              <w:rPr>
                <w:rFonts w:ascii="宋体" w:hAnsi="宋体" w:cs="宋体"/>
                <w:kern w:val="0"/>
                <w:sz w:val="24"/>
              </w:rPr>
            </w:pPr>
            <w:r>
              <w:rPr>
                <w:rFonts w:hint="eastAsia" w:ascii="宋体" w:hAnsi="宋体" w:cs="宋体"/>
                <w:kern w:val="0"/>
                <w:sz w:val="24"/>
              </w:rPr>
              <w:t xml:space="preserve">石板路（乱石、块石、石板结构）  </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kern w:val="0"/>
                <w:sz w:val="24"/>
              </w:rPr>
            </w:pPr>
            <w:r>
              <w:rPr>
                <w:rFonts w:hint="eastAsia" w:ascii="宋体" w:hAnsi="宋体" w:cs="宋体"/>
                <w:kern w:val="0"/>
                <w:sz w:val="24"/>
              </w:rPr>
              <w:t xml:space="preserve">  20元/m</w:t>
            </w:r>
            <w:r>
              <w:rPr>
                <w:rFonts w:hint="eastAsia" w:ascii="宋体" w:hAnsi="宋体" w:cs="宋体"/>
                <w:kern w:val="0"/>
                <w:sz w:val="24"/>
                <w:vertAlign w:val="superscript"/>
              </w:rPr>
              <w:t>2</w:t>
            </w:r>
          </w:p>
        </w:tc>
      </w:tr>
      <w:tr>
        <w:tblPrEx>
          <w:tblCellMar>
            <w:top w:w="0" w:type="dxa"/>
            <w:left w:w="108" w:type="dxa"/>
            <w:bottom w:w="0" w:type="dxa"/>
            <w:right w:w="108" w:type="dxa"/>
          </w:tblCellMar>
        </w:tblPrEx>
        <w:trPr>
          <w:trHeight w:val="227" w:hRule="atLeast"/>
        </w:trPr>
        <w:tc>
          <w:tcPr>
            <w:tcW w:w="612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left"/>
              <w:textAlignment w:val="center"/>
              <w:rPr>
                <w:rFonts w:ascii="宋体" w:hAnsi="宋体" w:cs="宋体"/>
                <w:kern w:val="0"/>
                <w:sz w:val="24"/>
              </w:rPr>
            </w:pPr>
            <w:r>
              <w:rPr>
                <w:rFonts w:hint="eastAsia" w:ascii="宋体" w:hAnsi="宋体" w:cs="宋体"/>
                <w:kern w:val="0"/>
                <w:sz w:val="24"/>
              </w:rPr>
              <w:t xml:space="preserve">石头路  </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kern w:val="0"/>
                <w:sz w:val="24"/>
              </w:rPr>
            </w:pPr>
            <w:r>
              <w:rPr>
                <w:rFonts w:hint="eastAsia" w:ascii="宋体" w:hAnsi="宋体" w:cs="宋体"/>
                <w:kern w:val="0"/>
                <w:sz w:val="24"/>
              </w:rPr>
              <w:t xml:space="preserve">  15元/m</w:t>
            </w:r>
            <w:r>
              <w:rPr>
                <w:rFonts w:hint="eastAsia" w:ascii="宋体" w:hAnsi="宋体" w:cs="宋体"/>
                <w:kern w:val="0"/>
                <w:sz w:val="24"/>
                <w:vertAlign w:val="superscript"/>
              </w:rPr>
              <w:t>2</w:t>
            </w:r>
          </w:p>
        </w:tc>
      </w:tr>
      <w:tr>
        <w:trPr>
          <w:trHeight w:val="227" w:hRule="atLeast"/>
        </w:trPr>
        <w:tc>
          <w:tcPr>
            <w:tcW w:w="612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left"/>
              <w:textAlignment w:val="center"/>
              <w:rPr>
                <w:rFonts w:ascii="宋体" w:hAnsi="宋体" w:cs="宋体"/>
                <w:kern w:val="0"/>
                <w:sz w:val="24"/>
              </w:rPr>
            </w:pPr>
            <w:r>
              <w:rPr>
                <w:rFonts w:hint="eastAsia" w:ascii="宋体" w:hAnsi="宋体" w:cs="宋体"/>
                <w:kern w:val="0"/>
                <w:sz w:val="24"/>
              </w:rPr>
              <w:t xml:space="preserve">简易棚（竹+石棉瓦结构） </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kern w:val="0"/>
                <w:sz w:val="24"/>
              </w:rPr>
            </w:pPr>
            <w:r>
              <w:rPr>
                <w:rFonts w:hint="eastAsia" w:ascii="宋体" w:hAnsi="宋体" w:cs="宋体"/>
                <w:kern w:val="0"/>
                <w:sz w:val="24"/>
              </w:rPr>
              <w:t>20-30元/m</w:t>
            </w:r>
            <w:r>
              <w:rPr>
                <w:rFonts w:hint="eastAsia" w:ascii="宋体" w:hAnsi="宋体" w:cs="宋体"/>
                <w:kern w:val="0"/>
                <w:sz w:val="24"/>
                <w:vertAlign w:val="superscript"/>
              </w:rPr>
              <w:t>2</w:t>
            </w:r>
          </w:p>
        </w:tc>
      </w:tr>
      <w:tr>
        <w:tblPrEx>
          <w:tblCellMar>
            <w:top w:w="0" w:type="dxa"/>
            <w:left w:w="108" w:type="dxa"/>
            <w:bottom w:w="0" w:type="dxa"/>
            <w:right w:w="108" w:type="dxa"/>
          </w:tblCellMar>
        </w:tblPrEx>
        <w:trPr>
          <w:trHeight w:val="227" w:hRule="atLeast"/>
        </w:trPr>
        <w:tc>
          <w:tcPr>
            <w:tcW w:w="612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left"/>
              <w:textAlignment w:val="center"/>
              <w:rPr>
                <w:rFonts w:ascii="宋体" w:hAnsi="宋体" w:cs="宋体"/>
                <w:kern w:val="0"/>
                <w:sz w:val="24"/>
              </w:rPr>
            </w:pPr>
            <w:r>
              <w:rPr>
                <w:rFonts w:hint="eastAsia" w:ascii="宋体" w:hAnsi="宋体" w:cs="宋体"/>
                <w:kern w:val="0"/>
                <w:sz w:val="24"/>
              </w:rPr>
              <w:t xml:space="preserve">简易棚（砖+瓦结构）  </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kern w:val="0"/>
                <w:sz w:val="24"/>
              </w:rPr>
            </w:pPr>
            <w:r>
              <w:rPr>
                <w:rFonts w:hint="eastAsia" w:ascii="宋体" w:hAnsi="宋体" w:cs="宋体"/>
                <w:kern w:val="0"/>
                <w:sz w:val="24"/>
              </w:rPr>
              <w:t xml:space="preserve"> 70-100元/m</w:t>
            </w:r>
            <w:r>
              <w:rPr>
                <w:rFonts w:hint="eastAsia" w:ascii="宋体" w:hAnsi="宋体" w:cs="宋体"/>
                <w:kern w:val="0"/>
                <w:sz w:val="24"/>
                <w:vertAlign w:val="superscript"/>
              </w:rPr>
              <w:t>2</w:t>
            </w:r>
          </w:p>
        </w:tc>
      </w:tr>
      <w:tr>
        <w:tblPrEx>
          <w:tblCellMar>
            <w:top w:w="0" w:type="dxa"/>
            <w:left w:w="108" w:type="dxa"/>
            <w:bottom w:w="0" w:type="dxa"/>
            <w:right w:w="108" w:type="dxa"/>
          </w:tblCellMar>
        </w:tblPrEx>
        <w:trPr>
          <w:trHeight w:val="227" w:hRule="atLeast"/>
        </w:trPr>
        <w:tc>
          <w:tcPr>
            <w:tcW w:w="612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left"/>
              <w:textAlignment w:val="center"/>
              <w:rPr>
                <w:rFonts w:ascii="宋体" w:hAnsi="宋体" w:cs="宋体"/>
                <w:kern w:val="0"/>
                <w:sz w:val="24"/>
              </w:rPr>
            </w:pPr>
            <w:r>
              <w:rPr>
                <w:rFonts w:hint="eastAsia" w:ascii="宋体" w:hAnsi="宋体" w:cs="宋体"/>
                <w:kern w:val="0"/>
                <w:sz w:val="24"/>
              </w:rPr>
              <w:t xml:space="preserve">简易棚（砖+铁皮结构） </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kern w:val="0"/>
                <w:sz w:val="24"/>
              </w:rPr>
            </w:pPr>
            <w:r>
              <w:rPr>
                <w:rFonts w:hint="eastAsia" w:ascii="宋体" w:hAnsi="宋体" w:cs="宋体"/>
                <w:kern w:val="0"/>
                <w:sz w:val="24"/>
              </w:rPr>
              <w:t xml:space="preserve"> 70-100元/m</w:t>
            </w:r>
            <w:r>
              <w:rPr>
                <w:rFonts w:hint="eastAsia" w:ascii="宋体" w:hAnsi="宋体" w:cs="宋体"/>
                <w:kern w:val="0"/>
                <w:sz w:val="24"/>
                <w:vertAlign w:val="superscript"/>
              </w:rPr>
              <w:t>2</w:t>
            </w:r>
          </w:p>
        </w:tc>
      </w:tr>
      <w:tr>
        <w:tblPrEx>
          <w:tblCellMar>
            <w:top w:w="0" w:type="dxa"/>
            <w:left w:w="108" w:type="dxa"/>
            <w:bottom w:w="0" w:type="dxa"/>
            <w:right w:w="108" w:type="dxa"/>
          </w:tblCellMar>
        </w:tblPrEx>
        <w:trPr>
          <w:trHeight w:val="227" w:hRule="atLeast"/>
        </w:trPr>
        <w:tc>
          <w:tcPr>
            <w:tcW w:w="612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left"/>
              <w:textAlignment w:val="center"/>
              <w:rPr>
                <w:rFonts w:ascii="宋体" w:hAnsi="宋体" w:cs="宋体"/>
                <w:kern w:val="0"/>
                <w:sz w:val="24"/>
              </w:rPr>
            </w:pPr>
            <w:r>
              <w:rPr>
                <w:rFonts w:hint="eastAsia" w:ascii="宋体" w:hAnsi="宋体" w:cs="宋体"/>
                <w:kern w:val="0"/>
                <w:sz w:val="24"/>
              </w:rPr>
              <w:t xml:space="preserve">临时管理房（砖+石棉瓦结构）  </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kern w:val="0"/>
                <w:sz w:val="24"/>
              </w:rPr>
            </w:pPr>
            <w:r>
              <w:rPr>
                <w:rFonts w:hint="eastAsia" w:ascii="宋体" w:hAnsi="宋体" w:cs="宋体"/>
                <w:kern w:val="0"/>
                <w:sz w:val="24"/>
              </w:rPr>
              <w:t>50-70元/m</w:t>
            </w:r>
            <w:r>
              <w:rPr>
                <w:rFonts w:hint="eastAsia" w:ascii="宋体" w:hAnsi="宋体" w:cs="宋体"/>
                <w:kern w:val="0"/>
                <w:sz w:val="24"/>
                <w:vertAlign w:val="superscript"/>
              </w:rPr>
              <w:t>2</w:t>
            </w:r>
          </w:p>
        </w:tc>
      </w:tr>
      <w:tr>
        <w:tblPrEx>
          <w:tblCellMar>
            <w:top w:w="0" w:type="dxa"/>
            <w:left w:w="108" w:type="dxa"/>
            <w:bottom w:w="0" w:type="dxa"/>
            <w:right w:w="108" w:type="dxa"/>
          </w:tblCellMar>
        </w:tblPrEx>
        <w:trPr>
          <w:trHeight w:val="227" w:hRule="atLeast"/>
        </w:trPr>
        <w:tc>
          <w:tcPr>
            <w:tcW w:w="612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left"/>
              <w:textAlignment w:val="center"/>
              <w:rPr>
                <w:rFonts w:ascii="宋体" w:hAnsi="宋体" w:cs="宋体"/>
                <w:kern w:val="0"/>
                <w:sz w:val="24"/>
              </w:rPr>
            </w:pPr>
            <w:r>
              <w:rPr>
                <w:rFonts w:hint="eastAsia" w:ascii="宋体" w:hAnsi="宋体" w:cs="宋体"/>
                <w:kern w:val="0"/>
                <w:sz w:val="24"/>
              </w:rPr>
              <w:t xml:space="preserve">五孔板 </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kern w:val="0"/>
                <w:sz w:val="24"/>
              </w:rPr>
            </w:pPr>
            <w:r>
              <w:rPr>
                <w:rFonts w:hint="eastAsia" w:ascii="宋体" w:hAnsi="宋体" w:cs="宋体"/>
                <w:kern w:val="0"/>
                <w:sz w:val="24"/>
              </w:rPr>
              <w:t xml:space="preserve"> 50元/粒</w:t>
            </w:r>
          </w:p>
        </w:tc>
      </w:tr>
      <w:tr>
        <w:tblPrEx>
          <w:tblCellMar>
            <w:top w:w="0" w:type="dxa"/>
            <w:left w:w="108" w:type="dxa"/>
            <w:bottom w:w="0" w:type="dxa"/>
            <w:right w:w="108" w:type="dxa"/>
          </w:tblCellMar>
        </w:tblPrEx>
        <w:trPr>
          <w:trHeight w:val="227" w:hRule="atLeast"/>
        </w:trPr>
        <w:tc>
          <w:tcPr>
            <w:tcW w:w="612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left"/>
              <w:textAlignment w:val="center"/>
              <w:rPr>
                <w:rFonts w:ascii="宋体" w:hAnsi="宋体" w:cs="宋体"/>
                <w:kern w:val="0"/>
                <w:sz w:val="24"/>
              </w:rPr>
            </w:pPr>
            <w:r>
              <w:rPr>
                <w:rFonts w:hint="eastAsia" w:ascii="宋体" w:hAnsi="宋体" w:cs="宋体"/>
                <w:kern w:val="0"/>
                <w:sz w:val="24"/>
              </w:rPr>
              <w:t>水池（砼混凝土结构）</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kern w:val="0"/>
                <w:sz w:val="24"/>
              </w:rPr>
            </w:pPr>
            <w:r>
              <w:rPr>
                <w:rFonts w:hint="eastAsia" w:ascii="宋体" w:hAnsi="宋体" w:cs="宋体"/>
                <w:kern w:val="0"/>
                <w:sz w:val="24"/>
              </w:rPr>
              <w:t xml:space="preserve"> 70元/m</w:t>
            </w:r>
            <w:r>
              <w:rPr>
                <w:rFonts w:hint="eastAsia" w:ascii="宋体" w:hAnsi="宋体" w:cs="宋体"/>
                <w:kern w:val="0"/>
                <w:sz w:val="24"/>
                <w:vertAlign w:val="superscript"/>
              </w:rPr>
              <w:t>3</w:t>
            </w:r>
          </w:p>
        </w:tc>
      </w:tr>
      <w:tr>
        <w:tblPrEx>
          <w:tblCellMar>
            <w:top w:w="0" w:type="dxa"/>
            <w:left w:w="108" w:type="dxa"/>
            <w:bottom w:w="0" w:type="dxa"/>
            <w:right w:w="108" w:type="dxa"/>
          </w:tblCellMar>
        </w:tblPrEx>
        <w:trPr>
          <w:trHeight w:val="227" w:hRule="atLeast"/>
        </w:trPr>
        <w:tc>
          <w:tcPr>
            <w:tcW w:w="612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left"/>
              <w:textAlignment w:val="center"/>
              <w:rPr>
                <w:rFonts w:ascii="宋体" w:hAnsi="宋体" w:cs="宋体"/>
                <w:kern w:val="0"/>
                <w:sz w:val="24"/>
              </w:rPr>
            </w:pPr>
            <w:r>
              <w:rPr>
                <w:rFonts w:hint="eastAsia" w:ascii="宋体" w:hAnsi="宋体" w:cs="宋体"/>
                <w:kern w:val="0"/>
                <w:sz w:val="24"/>
              </w:rPr>
              <w:t xml:space="preserve">淹塘 </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kern w:val="0"/>
                <w:sz w:val="24"/>
              </w:rPr>
            </w:pPr>
            <w:r>
              <w:rPr>
                <w:rFonts w:hint="eastAsia" w:ascii="宋体" w:hAnsi="宋体" w:cs="宋体"/>
                <w:kern w:val="0"/>
                <w:sz w:val="24"/>
              </w:rPr>
              <w:t>100元/m</w:t>
            </w:r>
            <w:r>
              <w:rPr>
                <w:rFonts w:hint="eastAsia" w:ascii="宋体" w:hAnsi="宋体" w:cs="宋体"/>
                <w:kern w:val="0"/>
                <w:sz w:val="24"/>
                <w:vertAlign w:val="superscript"/>
              </w:rPr>
              <w:t>3</w:t>
            </w:r>
          </w:p>
        </w:tc>
      </w:tr>
      <w:tr>
        <w:tblPrEx>
          <w:tblCellMar>
            <w:top w:w="0" w:type="dxa"/>
            <w:left w:w="108" w:type="dxa"/>
            <w:bottom w:w="0" w:type="dxa"/>
            <w:right w:w="108" w:type="dxa"/>
          </w:tblCellMar>
        </w:tblPrEx>
        <w:trPr>
          <w:trHeight w:val="227" w:hRule="atLeast"/>
        </w:trPr>
        <w:tc>
          <w:tcPr>
            <w:tcW w:w="612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left"/>
              <w:textAlignment w:val="center"/>
              <w:rPr>
                <w:rFonts w:ascii="宋体" w:hAnsi="宋体" w:cs="宋体"/>
                <w:kern w:val="0"/>
                <w:sz w:val="24"/>
              </w:rPr>
            </w:pPr>
            <w:r>
              <w:rPr>
                <w:rFonts w:hint="eastAsia" w:ascii="宋体" w:hAnsi="宋体" w:cs="宋体"/>
                <w:kern w:val="0"/>
                <w:sz w:val="24"/>
              </w:rPr>
              <w:t>围墙（砖+石结构）</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kern w:val="0"/>
                <w:sz w:val="24"/>
              </w:rPr>
            </w:pPr>
            <w:r>
              <w:rPr>
                <w:rFonts w:hint="eastAsia" w:ascii="宋体" w:hAnsi="宋体" w:cs="宋体"/>
                <w:kern w:val="0"/>
                <w:sz w:val="24"/>
              </w:rPr>
              <w:t>40-80元/m</w:t>
            </w:r>
            <w:r>
              <w:rPr>
                <w:rFonts w:hint="eastAsia" w:ascii="宋体" w:hAnsi="宋体" w:cs="宋体"/>
                <w:kern w:val="0"/>
                <w:sz w:val="24"/>
                <w:vertAlign w:val="superscript"/>
              </w:rPr>
              <w:t>2</w:t>
            </w:r>
          </w:p>
        </w:tc>
      </w:tr>
      <w:tr>
        <w:tblPrEx>
          <w:tblCellMar>
            <w:top w:w="0" w:type="dxa"/>
            <w:left w:w="108" w:type="dxa"/>
            <w:bottom w:w="0" w:type="dxa"/>
            <w:right w:w="108" w:type="dxa"/>
          </w:tblCellMar>
        </w:tblPrEx>
        <w:trPr>
          <w:trHeight w:val="227" w:hRule="atLeast"/>
        </w:trPr>
        <w:tc>
          <w:tcPr>
            <w:tcW w:w="612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left"/>
              <w:textAlignment w:val="center"/>
              <w:rPr>
                <w:rFonts w:ascii="宋体" w:hAnsi="宋体" w:cs="宋体"/>
                <w:kern w:val="0"/>
                <w:sz w:val="24"/>
              </w:rPr>
            </w:pPr>
            <w:r>
              <w:rPr>
                <w:rFonts w:hint="eastAsia" w:ascii="宋体" w:hAnsi="宋体" w:cs="宋体"/>
                <w:kern w:val="0"/>
                <w:sz w:val="24"/>
              </w:rPr>
              <w:t xml:space="preserve">猪、鸭、鸡、牛栏等按地面面积（包括灰坦、围圈等）   </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kern w:val="0"/>
                <w:sz w:val="24"/>
              </w:rPr>
            </w:pPr>
            <w:r>
              <w:rPr>
                <w:rFonts w:hint="eastAsia" w:ascii="宋体" w:hAnsi="宋体" w:cs="宋体"/>
                <w:kern w:val="0"/>
                <w:sz w:val="24"/>
              </w:rPr>
              <w:t>25元/m</w:t>
            </w:r>
            <w:r>
              <w:rPr>
                <w:rFonts w:hint="eastAsia" w:ascii="宋体" w:hAnsi="宋体" w:cs="宋体"/>
                <w:kern w:val="0"/>
                <w:sz w:val="24"/>
                <w:vertAlign w:val="superscript"/>
              </w:rPr>
              <w:t>2</w:t>
            </w:r>
          </w:p>
        </w:tc>
      </w:tr>
      <w:tr>
        <w:tblPrEx>
          <w:tblCellMar>
            <w:top w:w="0" w:type="dxa"/>
            <w:left w:w="108" w:type="dxa"/>
            <w:bottom w:w="0" w:type="dxa"/>
            <w:right w:w="108" w:type="dxa"/>
          </w:tblCellMar>
        </w:tblPrEx>
        <w:trPr>
          <w:trHeight w:val="227" w:hRule="atLeast"/>
        </w:trPr>
        <w:tc>
          <w:tcPr>
            <w:tcW w:w="612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left"/>
              <w:textAlignment w:val="center"/>
              <w:rPr>
                <w:rFonts w:ascii="宋体" w:hAnsi="宋体" w:cs="宋体"/>
                <w:kern w:val="0"/>
                <w:sz w:val="24"/>
              </w:rPr>
            </w:pPr>
            <w:r>
              <w:rPr>
                <w:rFonts w:hint="eastAsia" w:ascii="宋体" w:hAnsi="宋体" w:cs="宋体"/>
                <w:kern w:val="0"/>
                <w:sz w:val="24"/>
              </w:rPr>
              <w:t xml:space="preserve">石棉瓦 </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kern w:val="0"/>
                <w:sz w:val="24"/>
              </w:rPr>
            </w:pPr>
            <w:r>
              <w:rPr>
                <w:rFonts w:hint="eastAsia" w:ascii="宋体" w:hAnsi="宋体" w:cs="宋体"/>
                <w:kern w:val="0"/>
                <w:sz w:val="24"/>
              </w:rPr>
              <w:t xml:space="preserve"> 6元/粒  </w:t>
            </w:r>
          </w:p>
        </w:tc>
      </w:tr>
      <w:tr>
        <w:tblPrEx>
          <w:tblCellMar>
            <w:top w:w="0" w:type="dxa"/>
            <w:left w:w="108" w:type="dxa"/>
            <w:bottom w:w="0" w:type="dxa"/>
            <w:right w:w="108" w:type="dxa"/>
          </w:tblCellMar>
        </w:tblPrEx>
        <w:trPr>
          <w:trHeight w:val="227" w:hRule="atLeast"/>
        </w:trPr>
        <w:tc>
          <w:tcPr>
            <w:tcW w:w="612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left"/>
              <w:textAlignment w:val="center"/>
              <w:rPr>
                <w:rFonts w:ascii="宋体" w:hAnsi="宋体" w:cs="宋体"/>
                <w:kern w:val="0"/>
                <w:sz w:val="24"/>
              </w:rPr>
            </w:pPr>
            <w:r>
              <w:rPr>
                <w:rFonts w:hint="eastAsia" w:ascii="宋体" w:hAnsi="宋体" w:cs="宋体"/>
                <w:kern w:val="0"/>
                <w:sz w:val="24"/>
              </w:rPr>
              <w:t xml:space="preserve">水井（直径在25厘米以上）    </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kern w:val="0"/>
                <w:sz w:val="24"/>
              </w:rPr>
            </w:pPr>
            <w:r>
              <w:rPr>
                <w:rFonts w:hint="eastAsia" w:ascii="宋体" w:hAnsi="宋体" w:cs="宋体"/>
                <w:kern w:val="0"/>
                <w:sz w:val="24"/>
              </w:rPr>
              <w:t xml:space="preserve"> 200元/m</w:t>
            </w:r>
            <w:r>
              <w:rPr>
                <w:rFonts w:hint="eastAsia" w:ascii="宋体" w:hAnsi="宋体" w:cs="宋体"/>
                <w:kern w:val="0"/>
                <w:sz w:val="24"/>
                <w:vertAlign w:val="superscript"/>
              </w:rPr>
              <w:t>2</w:t>
            </w:r>
          </w:p>
        </w:tc>
      </w:tr>
      <w:tr>
        <w:tblPrEx>
          <w:tblCellMar>
            <w:top w:w="0" w:type="dxa"/>
            <w:left w:w="108" w:type="dxa"/>
            <w:bottom w:w="0" w:type="dxa"/>
            <w:right w:w="108" w:type="dxa"/>
          </w:tblCellMar>
        </w:tblPrEx>
        <w:trPr>
          <w:trHeight w:val="227" w:hRule="atLeast"/>
        </w:trPr>
        <w:tc>
          <w:tcPr>
            <w:tcW w:w="612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left"/>
              <w:textAlignment w:val="center"/>
              <w:rPr>
                <w:rFonts w:ascii="宋体" w:hAnsi="宋体" w:cs="宋体"/>
                <w:kern w:val="0"/>
                <w:sz w:val="24"/>
              </w:rPr>
            </w:pPr>
            <w:r>
              <w:rPr>
                <w:rFonts w:hint="eastAsia" w:ascii="宋体" w:hAnsi="宋体" w:cs="宋体"/>
                <w:kern w:val="0"/>
                <w:sz w:val="24"/>
              </w:rPr>
              <w:t>水井（直径在25厘米以下）</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kern w:val="0"/>
                <w:sz w:val="24"/>
              </w:rPr>
            </w:pPr>
            <w:r>
              <w:rPr>
                <w:rFonts w:hint="eastAsia" w:ascii="宋体" w:hAnsi="宋体" w:cs="宋体"/>
                <w:kern w:val="0"/>
                <w:sz w:val="24"/>
              </w:rPr>
              <w:t xml:space="preserve"> 150元/m</w:t>
            </w:r>
            <w:r>
              <w:rPr>
                <w:rFonts w:hint="eastAsia" w:ascii="宋体" w:hAnsi="宋体" w:cs="宋体"/>
                <w:kern w:val="0"/>
                <w:sz w:val="24"/>
                <w:vertAlign w:val="superscript"/>
              </w:rPr>
              <w:t>2</w:t>
            </w:r>
          </w:p>
        </w:tc>
      </w:tr>
      <w:tr>
        <w:tblPrEx>
          <w:tblCellMar>
            <w:top w:w="0" w:type="dxa"/>
            <w:left w:w="108" w:type="dxa"/>
            <w:bottom w:w="0" w:type="dxa"/>
            <w:right w:w="108" w:type="dxa"/>
          </w:tblCellMar>
        </w:tblPrEx>
        <w:trPr>
          <w:trHeight w:val="227" w:hRule="atLeast"/>
        </w:trPr>
        <w:tc>
          <w:tcPr>
            <w:tcW w:w="612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left"/>
              <w:textAlignment w:val="center"/>
              <w:rPr>
                <w:rFonts w:ascii="宋体" w:hAnsi="宋体" w:cs="宋体"/>
                <w:kern w:val="0"/>
                <w:sz w:val="24"/>
              </w:rPr>
            </w:pPr>
            <w:r>
              <w:rPr>
                <w:rFonts w:hint="eastAsia" w:ascii="宋体" w:hAnsi="宋体" w:cs="宋体"/>
                <w:kern w:val="0"/>
                <w:sz w:val="24"/>
              </w:rPr>
              <w:t xml:space="preserve">化粪池（一立方米以上） </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kern w:val="0"/>
                <w:sz w:val="24"/>
              </w:rPr>
            </w:pPr>
            <w:r>
              <w:rPr>
                <w:rFonts w:hint="eastAsia" w:ascii="宋体" w:hAnsi="宋体" w:cs="宋体"/>
                <w:kern w:val="0"/>
                <w:sz w:val="24"/>
              </w:rPr>
              <w:t>200元/m</w:t>
            </w:r>
            <w:r>
              <w:rPr>
                <w:rFonts w:hint="eastAsia" w:ascii="宋体" w:hAnsi="宋体" w:cs="宋体"/>
                <w:kern w:val="0"/>
                <w:sz w:val="24"/>
                <w:vertAlign w:val="superscript"/>
              </w:rPr>
              <w:t>2</w:t>
            </w:r>
          </w:p>
        </w:tc>
      </w:tr>
      <w:tr>
        <w:trPr>
          <w:trHeight w:val="227" w:hRule="atLeast"/>
        </w:trPr>
        <w:tc>
          <w:tcPr>
            <w:tcW w:w="612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left"/>
              <w:textAlignment w:val="center"/>
              <w:rPr>
                <w:rFonts w:ascii="宋体" w:hAnsi="宋体" w:cs="宋体"/>
                <w:kern w:val="0"/>
                <w:sz w:val="24"/>
              </w:rPr>
            </w:pPr>
            <w:r>
              <w:rPr>
                <w:rFonts w:hint="eastAsia" w:ascii="宋体" w:hAnsi="宋体" w:cs="宋体"/>
                <w:kern w:val="0"/>
                <w:sz w:val="24"/>
              </w:rPr>
              <w:t xml:space="preserve">铁门  </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kern w:val="0"/>
                <w:sz w:val="24"/>
              </w:rPr>
            </w:pPr>
            <w:r>
              <w:rPr>
                <w:rFonts w:hint="eastAsia" w:ascii="宋体" w:hAnsi="宋体" w:cs="宋体"/>
                <w:kern w:val="0"/>
                <w:sz w:val="24"/>
              </w:rPr>
              <w:t xml:space="preserve"> 1000元/对</w:t>
            </w:r>
          </w:p>
        </w:tc>
      </w:tr>
      <w:tr>
        <w:trPr>
          <w:trHeight w:val="227" w:hRule="atLeast"/>
        </w:trPr>
        <w:tc>
          <w:tcPr>
            <w:tcW w:w="612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left"/>
              <w:textAlignment w:val="center"/>
              <w:rPr>
                <w:rFonts w:ascii="宋体" w:hAnsi="宋体" w:cs="宋体"/>
                <w:kern w:val="0"/>
                <w:sz w:val="24"/>
              </w:rPr>
            </w:pPr>
            <w:r>
              <w:rPr>
                <w:rFonts w:hint="eastAsia" w:ascii="宋体" w:hAnsi="宋体" w:cs="宋体"/>
                <w:kern w:val="0"/>
                <w:sz w:val="24"/>
              </w:rPr>
              <w:t xml:space="preserve">垃圾房（砖+水泥坦） </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kern w:val="0"/>
                <w:sz w:val="24"/>
              </w:rPr>
            </w:pPr>
            <w:r>
              <w:rPr>
                <w:rFonts w:hint="eastAsia" w:ascii="宋体" w:hAnsi="宋体" w:cs="宋体"/>
                <w:kern w:val="0"/>
                <w:sz w:val="24"/>
              </w:rPr>
              <w:t xml:space="preserve">500元/个  </w:t>
            </w:r>
          </w:p>
        </w:tc>
      </w:tr>
      <w:tr>
        <w:trPr>
          <w:trHeight w:val="227" w:hRule="atLeast"/>
        </w:trPr>
        <w:tc>
          <w:tcPr>
            <w:tcW w:w="612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left"/>
              <w:textAlignment w:val="center"/>
              <w:rPr>
                <w:rFonts w:ascii="宋体" w:hAnsi="宋体" w:cs="宋体"/>
                <w:kern w:val="0"/>
                <w:sz w:val="24"/>
              </w:rPr>
            </w:pPr>
            <w:r>
              <w:rPr>
                <w:rFonts w:hint="eastAsia" w:ascii="宋体" w:hAnsi="宋体" w:cs="宋体"/>
                <w:kern w:val="0"/>
                <w:sz w:val="24"/>
              </w:rPr>
              <w:t>门台 （按面积大小）</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kern w:val="0"/>
                <w:sz w:val="24"/>
              </w:rPr>
            </w:pPr>
            <w:r>
              <w:rPr>
                <w:rFonts w:hint="eastAsia" w:ascii="宋体" w:hAnsi="宋体" w:cs="宋体"/>
                <w:kern w:val="0"/>
                <w:sz w:val="24"/>
              </w:rPr>
              <w:t xml:space="preserve"> 200-1000元/座</w:t>
            </w:r>
          </w:p>
        </w:tc>
      </w:tr>
      <w:tr>
        <w:trPr>
          <w:trHeight w:val="227" w:hRule="atLeast"/>
        </w:trPr>
        <w:tc>
          <w:tcPr>
            <w:tcW w:w="612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left"/>
              <w:textAlignment w:val="center"/>
              <w:rPr>
                <w:rFonts w:ascii="宋体" w:hAnsi="宋体" w:cs="宋体"/>
                <w:kern w:val="0"/>
                <w:sz w:val="24"/>
              </w:rPr>
            </w:pPr>
            <w:r>
              <w:rPr>
                <w:rFonts w:hint="eastAsia" w:ascii="宋体" w:hAnsi="宋体" w:cs="宋体"/>
                <w:kern w:val="0"/>
                <w:sz w:val="24"/>
              </w:rPr>
              <w:t>钢管大棚（有膜）</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kern w:val="0"/>
                <w:sz w:val="24"/>
              </w:rPr>
            </w:pPr>
            <w:r>
              <w:rPr>
                <w:rFonts w:hint="eastAsia" w:ascii="宋体" w:hAnsi="宋体" w:cs="宋体"/>
                <w:kern w:val="0"/>
                <w:sz w:val="24"/>
              </w:rPr>
              <w:t xml:space="preserve">  4.5—5.3元/m</w:t>
            </w:r>
            <w:r>
              <w:rPr>
                <w:rFonts w:hint="eastAsia" w:ascii="宋体" w:hAnsi="宋体" w:cs="宋体"/>
                <w:kern w:val="0"/>
                <w:sz w:val="24"/>
                <w:vertAlign w:val="superscript"/>
              </w:rPr>
              <w:t>2</w:t>
            </w:r>
          </w:p>
        </w:tc>
      </w:tr>
      <w:tr>
        <w:trPr>
          <w:trHeight w:val="227" w:hRule="atLeast"/>
        </w:trPr>
        <w:tc>
          <w:tcPr>
            <w:tcW w:w="612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left"/>
              <w:textAlignment w:val="center"/>
              <w:rPr>
                <w:rFonts w:ascii="宋体" w:hAnsi="宋体" w:cs="宋体"/>
                <w:kern w:val="0"/>
                <w:sz w:val="24"/>
              </w:rPr>
            </w:pPr>
            <w:r>
              <w:rPr>
                <w:rFonts w:hint="eastAsia" w:ascii="宋体" w:hAnsi="宋体" w:cs="宋体"/>
                <w:kern w:val="0"/>
                <w:sz w:val="24"/>
              </w:rPr>
              <w:t>竹架大棚（有膜）</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kern w:val="0"/>
                <w:sz w:val="24"/>
              </w:rPr>
            </w:pPr>
            <w:r>
              <w:rPr>
                <w:rFonts w:hint="eastAsia" w:ascii="宋体" w:hAnsi="宋体" w:cs="宋体"/>
                <w:kern w:val="0"/>
                <w:sz w:val="24"/>
              </w:rPr>
              <w:t xml:space="preserve"> 1.3—2.2元/m</w:t>
            </w:r>
            <w:r>
              <w:rPr>
                <w:rFonts w:hint="eastAsia" w:ascii="宋体" w:hAnsi="宋体" w:cs="宋体"/>
                <w:kern w:val="0"/>
                <w:sz w:val="24"/>
                <w:vertAlign w:val="superscript"/>
              </w:rPr>
              <w:t>2</w:t>
            </w:r>
          </w:p>
        </w:tc>
      </w:tr>
      <w:tr>
        <w:tblPrEx>
          <w:tblCellMar>
            <w:top w:w="0" w:type="dxa"/>
            <w:left w:w="108" w:type="dxa"/>
            <w:bottom w:w="0" w:type="dxa"/>
            <w:right w:w="108" w:type="dxa"/>
          </w:tblCellMar>
        </w:tblPrEx>
        <w:trPr>
          <w:trHeight w:val="227" w:hRule="atLeast"/>
        </w:trPr>
        <w:tc>
          <w:tcPr>
            <w:tcW w:w="612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left"/>
              <w:textAlignment w:val="center"/>
              <w:rPr>
                <w:rFonts w:ascii="宋体" w:hAnsi="宋体" w:cs="宋体"/>
                <w:kern w:val="0"/>
                <w:sz w:val="24"/>
              </w:rPr>
            </w:pPr>
            <w:r>
              <w:rPr>
                <w:rFonts w:hint="eastAsia" w:ascii="宋体" w:hAnsi="宋体" w:cs="宋体"/>
                <w:kern w:val="0"/>
                <w:sz w:val="24"/>
              </w:rPr>
              <w:t xml:space="preserve">小型水泵  </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kern w:val="0"/>
                <w:sz w:val="24"/>
              </w:rPr>
            </w:pPr>
            <w:r>
              <w:rPr>
                <w:rFonts w:hint="eastAsia" w:ascii="宋体" w:hAnsi="宋体" w:cs="宋体"/>
                <w:kern w:val="0"/>
                <w:sz w:val="24"/>
              </w:rPr>
              <w:t xml:space="preserve">100元/个 </w:t>
            </w:r>
          </w:p>
        </w:tc>
      </w:tr>
      <w:tr>
        <w:tblPrEx>
          <w:tblCellMar>
            <w:top w:w="0" w:type="dxa"/>
            <w:left w:w="108" w:type="dxa"/>
            <w:bottom w:w="0" w:type="dxa"/>
            <w:right w:w="108" w:type="dxa"/>
          </w:tblCellMar>
        </w:tblPrEx>
        <w:trPr>
          <w:trHeight w:val="227" w:hRule="atLeast"/>
        </w:trPr>
        <w:tc>
          <w:tcPr>
            <w:tcW w:w="612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left"/>
              <w:textAlignment w:val="center"/>
              <w:rPr>
                <w:rFonts w:ascii="宋体" w:hAnsi="宋体" w:cs="宋体"/>
                <w:kern w:val="0"/>
                <w:sz w:val="24"/>
              </w:rPr>
            </w:pPr>
            <w:r>
              <w:rPr>
                <w:rFonts w:hint="eastAsia" w:ascii="宋体" w:hAnsi="宋体" w:cs="宋体"/>
                <w:kern w:val="0"/>
                <w:sz w:val="24"/>
                <w:lang w:eastAsia="zh-CN"/>
              </w:rPr>
              <w:t>不锈钢</w:t>
            </w:r>
            <w:r>
              <w:rPr>
                <w:rFonts w:hint="eastAsia" w:ascii="宋体" w:hAnsi="宋体" w:cs="宋体"/>
                <w:kern w:val="0"/>
                <w:sz w:val="24"/>
              </w:rPr>
              <w:t xml:space="preserve">水塔     </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宋体" w:hAnsi="宋体" w:cs="宋体"/>
                <w:kern w:val="0"/>
                <w:sz w:val="24"/>
              </w:rPr>
            </w:pPr>
            <w:r>
              <w:rPr>
                <w:rFonts w:hint="eastAsia" w:ascii="宋体" w:hAnsi="宋体" w:cs="宋体"/>
                <w:kern w:val="0"/>
                <w:sz w:val="24"/>
              </w:rPr>
              <w:t>500元/个</w:t>
            </w:r>
          </w:p>
        </w:tc>
      </w:tr>
    </w:tbl>
    <w:p>
      <w:pPr>
        <w:widowControl/>
        <w:spacing w:line="320" w:lineRule="exact"/>
        <w:jc w:val="left"/>
        <w:rPr>
          <w:rFonts w:ascii="宋体" w:hAnsi="宋体" w:cs="宋体"/>
          <w:kern w:val="0"/>
          <w:szCs w:val="21"/>
        </w:rPr>
      </w:pPr>
      <w:r>
        <w:rPr>
          <w:rFonts w:hint="eastAsia" w:ascii="宋体" w:hAnsi="宋体" w:cs="宋体"/>
          <w:kern w:val="0"/>
          <w:szCs w:val="21"/>
        </w:rPr>
        <w:t>注：特殊地上附着物（构筑物）补偿标准按平政发〔2010〕220号文件执行，未规定的按林业及物价中介机构等部门评估价格为准。</w:t>
      </w:r>
    </w:p>
    <w:p>
      <w:pPr>
        <w:widowControl/>
        <w:spacing w:line="600" w:lineRule="exact"/>
        <w:jc w:val="left"/>
        <w:rPr>
          <w:rFonts w:ascii="黑体" w:hAnsi="宋体" w:eastAsia="黑体" w:cs="宋体"/>
          <w:kern w:val="0"/>
          <w:sz w:val="32"/>
          <w:szCs w:val="32"/>
        </w:rPr>
      </w:pPr>
    </w:p>
    <w:p>
      <w:pPr>
        <w:widowControl/>
        <w:spacing w:line="600" w:lineRule="exact"/>
        <w:jc w:val="left"/>
        <w:rPr>
          <w:rFonts w:ascii="黑体" w:hAnsi="宋体" w:eastAsia="黑体" w:cs="宋体"/>
          <w:kern w:val="0"/>
          <w:sz w:val="24"/>
        </w:rPr>
      </w:pPr>
      <w:r>
        <w:rPr>
          <w:rFonts w:hint="eastAsia" w:ascii="黑体" w:hAnsi="宋体" w:eastAsia="黑体" w:cs="宋体"/>
          <w:kern w:val="0"/>
          <w:sz w:val="32"/>
          <w:szCs w:val="32"/>
        </w:rPr>
        <w:t>附</w:t>
      </w:r>
      <w:r>
        <w:rPr>
          <w:rFonts w:hint="eastAsia" w:ascii="仿宋_GB2312" w:eastAsia="仿宋_GB2312"/>
          <w:sz w:val="32"/>
          <w:szCs w:val="32"/>
        </w:rPr>
        <w:t>件</w:t>
      </w:r>
      <w:r>
        <w:rPr>
          <w:rFonts w:hint="eastAsia" w:ascii="黑体" w:hAnsi="宋体" w:eastAsia="黑体" w:cs="宋体"/>
          <w:kern w:val="0"/>
          <w:sz w:val="32"/>
          <w:szCs w:val="32"/>
        </w:rPr>
        <w:t xml:space="preserve">4      </w:t>
      </w:r>
    </w:p>
    <w:p>
      <w:pPr>
        <w:widowControl/>
        <w:spacing w:line="600" w:lineRule="exact"/>
        <w:jc w:val="center"/>
        <w:rPr>
          <w:rFonts w:ascii="宋体" w:hAnsi="宋体" w:cs="宋体"/>
          <w:kern w:val="0"/>
          <w:sz w:val="24"/>
        </w:rPr>
      </w:pPr>
      <w:r>
        <w:rPr>
          <w:rFonts w:hint="eastAsia" w:ascii="黑体" w:hAnsi="宋体" w:eastAsia="黑体" w:cs="宋体"/>
          <w:kern w:val="0"/>
          <w:sz w:val="36"/>
          <w:szCs w:val="36"/>
        </w:rPr>
        <w:t>被征收房屋装饰装修补偿参考价</w:t>
      </w:r>
    </w:p>
    <w:tbl>
      <w:tblPr>
        <w:tblStyle w:val="4"/>
        <w:tblW w:w="899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7"/>
        <w:gridCol w:w="3452"/>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6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宋体" w:hAnsi="宋体" w:cs="宋体"/>
                <w:b/>
                <w:kern w:val="0"/>
                <w:sz w:val="24"/>
              </w:rPr>
              <w:t>项  目</w:t>
            </w: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宋体" w:hAnsi="宋体" w:cs="宋体"/>
                <w:b/>
                <w:kern w:val="0"/>
                <w:sz w:val="24"/>
              </w:rPr>
              <w:t>质 量 标 准</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宋体" w:hAnsi="宋体" w:cs="宋体"/>
                <w:b/>
                <w:kern w:val="0"/>
                <w:sz w:val="24"/>
              </w:rPr>
              <w:t>补偿单价（元/㎡）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防盗窗罩</w:t>
            </w: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不锈钢可拉式</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6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kern w:val="0"/>
                <w:sz w:val="24"/>
              </w:rPr>
            </w:pP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不锈钢固定式</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6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kern w:val="0"/>
                <w:sz w:val="24"/>
              </w:rPr>
            </w:pP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普通钢筋可拉式</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6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kern w:val="0"/>
                <w:sz w:val="24"/>
              </w:rPr>
            </w:pP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普通钢筋固定式</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6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墙  纸</w:t>
            </w: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 </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6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墙面油漆</w:t>
            </w: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无光漆</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6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喷塑</w:t>
            </w: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多彩</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6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马赛克</w:t>
            </w: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瓷质</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陶瓷砖</w:t>
            </w: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铜质</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6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kern w:val="0"/>
                <w:sz w:val="24"/>
              </w:rPr>
            </w:pP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陶质</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6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抛光砖</w:t>
            </w: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szCs w:val="21"/>
              </w:rPr>
              <w:t>60cm×60cm或以上</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6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不锈钢包柱</w:t>
            </w: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钢混结构木龙骨</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6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宝丽板</w:t>
            </w: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贴墙面或吊顶</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三合板</w:t>
            </w: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油漆</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6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kern w:val="0"/>
                <w:sz w:val="24"/>
              </w:rPr>
            </w:pP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 </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6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吸塑板</w:t>
            </w: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 </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水磨石</w:t>
            </w: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嵌铜条彩色</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6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kern w:val="0"/>
                <w:sz w:val="24"/>
              </w:rPr>
            </w:pP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嵌玻璃条</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6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强化复合地板</w:t>
            </w: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 </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实木地板</w:t>
            </w: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普通档</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6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kern w:val="0"/>
                <w:sz w:val="24"/>
              </w:rPr>
            </w:pP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中高档</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大理石</w:t>
            </w: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普通花岗岩</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6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kern w:val="0"/>
                <w:sz w:val="24"/>
              </w:rPr>
            </w:pP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中、高档花岗岩</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6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lang w:eastAsia="zh-CN"/>
              </w:rPr>
              <w:t>坐便器</w:t>
            </w:r>
            <w:r>
              <w:rPr>
                <w:rFonts w:hint="eastAsia" w:ascii="宋体" w:hAnsi="宋体" w:cs="宋体"/>
                <w:kern w:val="0"/>
                <w:sz w:val="24"/>
              </w:rPr>
              <w:t xml:space="preserve">     </w:t>
            </w: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 </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szCs w:val="21"/>
              </w:rPr>
              <w:t>450元/套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6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 xml:space="preserve">洗脸盆     </w:t>
            </w: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 </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szCs w:val="21"/>
              </w:rPr>
              <w:t>200元/套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6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 xml:space="preserve">浴缸       </w:t>
            </w: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 </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szCs w:val="21"/>
              </w:rPr>
              <w:t>500元/套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6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吊柜、壁柜</w:t>
            </w: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立面面积</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6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自来水</w:t>
            </w: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户</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600元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6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有线电视</w:t>
            </w: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户</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168元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66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4"/>
              </w:rPr>
            </w:pPr>
            <w:r>
              <w:rPr>
                <w:rFonts w:hint="eastAsia" w:ascii="宋体" w:hAnsi="宋体" w:cs="宋体"/>
                <w:kern w:val="0"/>
                <w:sz w:val="24"/>
              </w:rPr>
              <w:t>数字电视</w:t>
            </w:r>
          </w:p>
        </w:tc>
        <w:tc>
          <w:tcPr>
            <w:tcW w:w="345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4"/>
              </w:rPr>
            </w:pPr>
            <w:r>
              <w:rPr>
                <w:rFonts w:hint="eastAsia" w:ascii="宋体" w:hAnsi="宋体" w:cs="宋体"/>
                <w:kern w:val="0"/>
                <w:sz w:val="24"/>
              </w:rPr>
              <w:t>户</w:t>
            </w:r>
          </w:p>
        </w:tc>
        <w:tc>
          <w:tcPr>
            <w:tcW w:w="288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kern w:val="0"/>
                <w:sz w:val="24"/>
              </w:rPr>
            </w:pPr>
            <w:r>
              <w:rPr>
                <w:rFonts w:hint="eastAsia" w:ascii="宋体" w:hAnsi="宋体" w:cs="宋体"/>
                <w:kern w:val="0"/>
                <w:sz w:val="24"/>
              </w:rPr>
              <w:t>300元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6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电  话</w:t>
            </w:r>
          </w:p>
        </w:tc>
        <w:tc>
          <w:tcPr>
            <w:tcW w:w="345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户</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kern w:val="0"/>
                <w:sz w:val="24"/>
              </w:rPr>
            </w:pPr>
            <w:r>
              <w:rPr>
                <w:rFonts w:hint="eastAsia" w:ascii="宋体" w:hAnsi="宋体" w:cs="宋体"/>
                <w:kern w:val="0"/>
                <w:sz w:val="24"/>
              </w:rPr>
              <w:t>208元</w:t>
            </w:r>
          </w:p>
        </w:tc>
      </w:tr>
    </w:tbl>
    <w:p>
      <w:pPr>
        <w:widowControl/>
        <w:spacing w:line="300" w:lineRule="exact"/>
        <w:jc w:val="left"/>
        <w:rPr>
          <w:rFonts w:ascii="宋体" w:hAnsi="宋体" w:cs="宋体"/>
          <w:kern w:val="0"/>
          <w:szCs w:val="21"/>
        </w:rPr>
      </w:pPr>
      <w:r>
        <w:rPr>
          <w:rFonts w:hint="eastAsia" w:ascii="宋体" w:hAnsi="宋体" w:cs="宋体"/>
          <w:kern w:val="0"/>
          <w:szCs w:val="21"/>
        </w:rPr>
        <w:t>说明：1.房屋结构等级范围内的装饰不予补偿;</w:t>
      </w:r>
    </w:p>
    <w:p>
      <w:pPr>
        <w:widowControl/>
        <w:spacing w:line="300" w:lineRule="exact"/>
        <w:ind w:firstLine="630" w:firstLineChars="300"/>
        <w:jc w:val="left"/>
        <w:rPr>
          <w:rFonts w:ascii="宋体" w:hAnsi="宋体" w:cs="宋体"/>
          <w:kern w:val="0"/>
          <w:szCs w:val="21"/>
        </w:rPr>
      </w:pPr>
      <w:r>
        <w:rPr>
          <w:rFonts w:hint="eastAsia" w:ascii="宋体" w:hAnsi="宋体" w:cs="宋体"/>
          <w:kern w:val="0"/>
          <w:szCs w:val="21"/>
        </w:rPr>
        <w:t>2.本单价不包括成新，结算时应按评估比例成新计算;</w:t>
      </w:r>
    </w:p>
    <w:p>
      <w:pPr>
        <w:widowControl/>
        <w:spacing w:line="300" w:lineRule="exact"/>
        <w:ind w:firstLine="630" w:firstLineChars="300"/>
        <w:jc w:val="left"/>
      </w:pPr>
      <w:r>
        <w:rPr>
          <w:rFonts w:hint="eastAsia" w:ascii="宋体" w:hAnsi="宋体" w:cs="宋体"/>
          <w:kern w:val="0"/>
          <w:szCs w:val="21"/>
        </w:rPr>
        <w:t>3.</w:t>
      </w:r>
      <w:r>
        <w:rPr>
          <w:rFonts w:hint="eastAsia" w:ascii="宋体" w:hAnsi="宋体"/>
          <w:szCs w:val="21"/>
        </w:rPr>
        <w:t>房屋装饰补偿标准外的装饰项目按照现场评估确定补偿价格。</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U5NmVlNGM1NWM3ODI3YWQyMDRmYTdmMWIyOGZlZWMifQ=="/>
  </w:docVars>
  <w:rsids>
    <w:rsidRoot w:val="7A1556FD"/>
    <w:rsid w:val="00241DC7"/>
    <w:rsid w:val="006A3683"/>
    <w:rsid w:val="00DF3AB4"/>
    <w:rsid w:val="6D535020"/>
    <w:rsid w:val="6E6B0F64"/>
    <w:rsid w:val="7A1556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正文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13</Pages>
  <Words>959</Words>
  <Characters>5472</Characters>
  <Lines>45</Lines>
  <Paragraphs>12</Paragraphs>
  <TotalTime>2</TotalTime>
  <ScaleCrop>false</ScaleCrop>
  <LinksUpToDate>false</LinksUpToDate>
  <CharactersWithSpaces>6419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2018-07-18T09:22:00Z</dcterms:created>
  <dc:creator>qzuser</dc:creator>
  <cp:lastModifiedBy>WPS_1690526826</cp:lastModifiedBy>
  <dcterms:modified xsi:type="dcterms:W3CDTF">2024-01-15T02:42:33Z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3B2D589C764944AF9D83A96187EFA799_12</vt:lpwstr>
  </property>
</Properties>
</file>